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42B" w:rsidRDefault="0021742B" w:rsidP="00394C5F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s malárií</w:t>
      </w:r>
    </w:p>
    <w:p w:rsidR="0021742B" w:rsidRPr="00394C5F" w:rsidRDefault="0021742B" w:rsidP="00394C5F"/>
    <w:p w:rsidR="0021742B" w:rsidRDefault="0021742B" w:rsidP="004B5477">
      <w:pPr>
        <w:jc w:val="both"/>
        <w:rPr>
          <w:rFonts w:ascii="Arial" w:hAnsi="Arial" w:cs="Arial"/>
          <w:sz w:val="24"/>
          <w:szCs w:val="24"/>
        </w:rPr>
      </w:pPr>
      <w:r w:rsidRPr="004B5477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>infekční oddělení FN</w:t>
      </w:r>
      <w:r w:rsidRPr="004B5477">
        <w:rPr>
          <w:rFonts w:ascii="Arial" w:hAnsi="Arial" w:cs="Arial"/>
          <w:sz w:val="24"/>
          <w:szCs w:val="24"/>
        </w:rPr>
        <w:t xml:space="preserve"> nemocnice byl</w:t>
      </w:r>
      <w:r>
        <w:rPr>
          <w:rFonts w:ascii="Arial" w:hAnsi="Arial" w:cs="Arial"/>
          <w:sz w:val="24"/>
          <w:szCs w:val="24"/>
        </w:rPr>
        <w:t xml:space="preserve"> přijat 32</w:t>
      </w:r>
      <w:r w:rsidRPr="004B5477">
        <w:rPr>
          <w:rFonts w:ascii="Arial" w:hAnsi="Arial" w:cs="Arial"/>
          <w:sz w:val="24"/>
          <w:szCs w:val="24"/>
        </w:rPr>
        <w:t>let</w:t>
      </w:r>
      <w:r>
        <w:rPr>
          <w:rFonts w:ascii="Arial" w:hAnsi="Arial" w:cs="Arial"/>
          <w:sz w:val="24"/>
          <w:szCs w:val="24"/>
        </w:rPr>
        <w:t xml:space="preserve">ý manažer zahraniční firmy s opakovanými záchvaty zimnice - horečky, pobíral Ibumax 400 mg tbl. Dnes opět zimnice s horečkou 39,8 </w:t>
      </w:r>
      <w:r w:rsidRPr="004B5477">
        <w:rPr>
          <w:rFonts w:ascii="Arial" w:hAnsi="Arial" w:cs="Arial"/>
          <w:sz w:val="24"/>
          <w:szCs w:val="24"/>
        </w:rPr>
        <w:t>°C</w:t>
      </w:r>
      <w:r>
        <w:rPr>
          <w:rFonts w:ascii="Arial" w:hAnsi="Arial" w:cs="Arial"/>
          <w:sz w:val="24"/>
          <w:szCs w:val="24"/>
        </w:rPr>
        <w:t xml:space="preserve"> a výsev oparu o velikosti 2 cm v oblasti pravého ústního koutku. Dále pacient uvádí nechutenství, nevolnost, pocit na zvracení, bolesti kloubů a střídavě chlad aker - prstů na rukou i nohou, boltců, nosu, brady a úst. Momentálně se cítí velmi vyčerpaný, unavený, malátný a spavý. </w:t>
      </w:r>
    </w:p>
    <w:p w:rsidR="0021742B" w:rsidRDefault="0021742B" w:rsidP="004B5477">
      <w:pPr>
        <w:jc w:val="both"/>
        <w:rPr>
          <w:rFonts w:ascii="Arial" w:hAnsi="Arial" w:cs="Arial"/>
          <w:sz w:val="24"/>
          <w:szCs w:val="24"/>
        </w:rPr>
      </w:pPr>
    </w:p>
    <w:p w:rsidR="0021742B" w:rsidRPr="005B38FA" w:rsidRDefault="0021742B" w:rsidP="006F340E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ANAMNÉZA </w:t>
      </w:r>
    </w:p>
    <w:p w:rsidR="0021742B" w:rsidRPr="003404DA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 xml:space="preserve">Rodinná anamnéza: 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Matka: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61 let, zdráva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Otec: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65 let, zdráv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Sourozenci: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bratr 28 let, zdráv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Děti: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2, obě dcery zdravé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</w:p>
    <w:p w:rsidR="0021742B" w:rsidRPr="00EC4D86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 xml:space="preserve">Osobní anamnéza: 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Překonaná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běžné dětské nemoci 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Chronická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občas potíže zažívacího traktu - nadýmání, nauzea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Hospitalizace a operace: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 10 letech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fraktura pravé kyčle pádem ze střechy, zhojeno bez následků, v 16 letech havárie na motocyklu s otřesem mozku a poraněním LDK+LS páteře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Úrazy</w:t>
      </w:r>
      <w:r w:rsidRPr="00D06958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výše uvedené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Transfúze: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ano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Očkování:</w:t>
      </w:r>
      <w:r w:rsidRPr="00D06958">
        <w:rPr>
          <w:rFonts w:ascii="Arial" w:hAnsi="Arial" w:cs="Arial"/>
          <w:sz w:val="24"/>
          <w:szCs w:val="24"/>
        </w:rPr>
        <w:t xml:space="preserve"> běžná dětská povinná očkování</w:t>
      </w:r>
      <w:r>
        <w:rPr>
          <w:rFonts w:ascii="Arial" w:hAnsi="Arial" w:cs="Arial"/>
          <w:sz w:val="24"/>
          <w:szCs w:val="24"/>
        </w:rPr>
        <w:t>, dále očkování proti VHA, VHB, žluté zimnici, proti meningitis vakcínou Menveo - v</w:t>
      </w:r>
      <w:r w:rsidRPr="007835B2">
        <w:rPr>
          <w:rFonts w:ascii="Arial" w:hAnsi="Arial" w:cs="Arial"/>
          <w:sz w:val="24"/>
          <w:szCs w:val="24"/>
        </w:rPr>
        <w:t>akcína proti meningokokovým nákazám skupin A, C, W135, Y</w:t>
      </w:r>
      <w:r>
        <w:rPr>
          <w:rFonts w:ascii="Arial" w:hAnsi="Arial" w:cs="Arial"/>
          <w:sz w:val="24"/>
          <w:szCs w:val="24"/>
        </w:rPr>
        <w:t xml:space="preserve">, vakcínou Typhim Vi - vakcína proti břišnímu tyfu </w:t>
      </w:r>
    </w:p>
    <w:p w:rsidR="0021742B" w:rsidRPr="00612C92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Léková anamnéza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86351D">
        <w:rPr>
          <w:rFonts w:ascii="Arial" w:hAnsi="Arial" w:cs="Arial"/>
          <w:sz w:val="24"/>
          <w:szCs w:val="24"/>
        </w:rPr>
        <w:t xml:space="preserve">toho času </w:t>
      </w:r>
      <w:r>
        <w:rPr>
          <w:rFonts w:ascii="Arial" w:hAnsi="Arial" w:cs="Arial"/>
          <w:sz w:val="24"/>
          <w:szCs w:val="24"/>
        </w:rPr>
        <w:t>Ibumax 400 mg tbl</w:t>
      </w:r>
      <w:r w:rsidRPr="0086351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6351D">
        <w:rPr>
          <w:rFonts w:ascii="Arial" w:hAnsi="Arial" w:cs="Arial"/>
          <w:sz w:val="24"/>
          <w:szCs w:val="24"/>
        </w:rPr>
        <w:t>při horečce</w:t>
      </w:r>
      <w:r w:rsidRPr="00612C92">
        <w:rPr>
          <w:rFonts w:ascii="Arial" w:hAnsi="Arial" w:cs="Arial"/>
          <w:b/>
          <w:sz w:val="24"/>
          <w:szCs w:val="24"/>
        </w:rPr>
        <w:t xml:space="preserve"> 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</w:p>
    <w:p w:rsidR="0021742B" w:rsidRPr="0057530D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Alergologická anamnéza</w:t>
      </w:r>
      <w:r>
        <w:rPr>
          <w:rFonts w:ascii="Arial" w:hAnsi="Arial" w:cs="Arial"/>
          <w:b/>
          <w:sz w:val="24"/>
          <w:szCs w:val="24"/>
        </w:rPr>
        <w:t>:</w:t>
      </w:r>
      <w:r w:rsidRPr="0057530D">
        <w:rPr>
          <w:rFonts w:ascii="Arial" w:hAnsi="Arial" w:cs="Arial"/>
          <w:b/>
          <w:sz w:val="24"/>
          <w:szCs w:val="24"/>
        </w:rPr>
        <w:t xml:space="preserve"> 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Léky: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Potraviny: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Chemické látky: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21742B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</w:p>
    <w:p w:rsidR="0021742B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Abusy: 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Alkohol: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ano, příležitostně destiláty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Kouření: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ano,</w:t>
      </w:r>
      <w:r w:rsidRPr="00D06958">
        <w:rPr>
          <w:rFonts w:ascii="Arial" w:hAnsi="Arial" w:cs="Arial"/>
          <w:sz w:val="24"/>
          <w:szCs w:val="24"/>
        </w:rPr>
        <w:t xml:space="preserve"> asi </w:t>
      </w:r>
      <w:r>
        <w:rPr>
          <w:rFonts w:ascii="Arial" w:hAnsi="Arial" w:cs="Arial"/>
          <w:sz w:val="24"/>
          <w:szCs w:val="24"/>
        </w:rPr>
        <w:t>4</w:t>
      </w:r>
      <w:r w:rsidRPr="00D06958">
        <w:rPr>
          <w:rFonts w:ascii="Arial" w:hAnsi="Arial" w:cs="Arial"/>
          <w:sz w:val="24"/>
          <w:szCs w:val="24"/>
        </w:rPr>
        <w:t xml:space="preserve">0 cigaret denně 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Káva:</w:t>
      </w:r>
      <w:r w:rsidRPr="00D06958">
        <w:rPr>
          <w:rFonts w:ascii="Arial" w:hAnsi="Arial" w:cs="Arial"/>
          <w:sz w:val="24"/>
          <w:szCs w:val="24"/>
        </w:rPr>
        <w:t xml:space="preserve"> 2x denně - černá</w:t>
      </w:r>
    </w:p>
    <w:p w:rsidR="0021742B" w:rsidRPr="007C6857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7C6857">
        <w:rPr>
          <w:rFonts w:ascii="Arial" w:hAnsi="Arial" w:cs="Arial"/>
          <w:b/>
          <w:sz w:val="24"/>
          <w:szCs w:val="24"/>
        </w:rPr>
        <w:t>Léky: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6351D">
        <w:rPr>
          <w:rFonts w:ascii="Arial" w:hAnsi="Arial" w:cs="Arial"/>
          <w:sz w:val="24"/>
          <w:szCs w:val="24"/>
        </w:rPr>
        <w:t>0</w:t>
      </w:r>
      <w:r w:rsidRPr="007C6857">
        <w:rPr>
          <w:rFonts w:ascii="Arial" w:hAnsi="Arial" w:cs="Arial"/>
          <w:b/>
          <w:sz w:val="24"/>
          <w:szCs w:val="24"/>
        </w:rPr>
        <w:t xml:space="preserve"> 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 drogy: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občas marihuana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21742B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</w:p>
    <w:p w:rsidR="0021742B" w:rsidRPr="0057530D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Sociální anamnéza: 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Stav: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ženatý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Bytové podmínky: </w:t>
      </w:r>
      <w:r w:rsidRPr="0086351D">
        <w:rPr>
          <w:rFonts w:ascii="Arial" w:hAnsi="Arial" w:cs="Arial"/>
          <w:sz w:val="24"/>
          <w:szCs w:val="24"/>
        </w:rPr>
        <w:t>rodinný dům</w:t>
      </w:r>
    </w:p>
    <w:p w:rsidR="0021742B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</w:p>
    <w:p w:rsidR="0021742B" w:rsidRPr="00F629B6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Pracovní anamnéza</w:t>
      </w:r>
      <w:r>
        <w:rPr>
          <w:rFonts w:ascii="Arial" w:hAnsi="Arial" w:cs="Arial"/>
          <w:b/>
          <w:sz w:val="24"/>
          <w:szCs w:val="24"/>
        </w:rPr>
        <w:t>:</w:t>
      </w:r>
      <w:r w:rsidRPr="00F629B6">
        <w:rPr>
          <w:rFonts w:ascii="Arial" w:hAnsi="Arial" w:cs="Arial"/>
          <w:b/>
          <w:sz w:val="24"/>
          <w:szCs w:val="24"/>
        </w:rPr>
        <w:t xml:space="preserve"> 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Vzdělání: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vysokoškolské - ekonomické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lastRenderedPageBreak/>
        <w:t>Pracovní zařazení: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manažer, zahraniční konzultant, střídavě žije v ČR a v Africe ve státě Sierra Leone, při pobytu v Africe nechráněný sexuální styk s asi 100 ženami v období od roku 2010 do 2013, prodělal všechny typy malárie, pertussi, lues, parazitární a amébová onemocnění GIT, hospitalizován a přeléčen léky s efektem.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Ekonomické podmínky:</w:t>
      </w:r>
      <w:r w:rsidRPr="00D06958">
        <w:rPr>
          <w:rFonts w:ascii="Arial" w:hAnsi="Arial" w:cs="Arial"/>
          <w:sz w:val="24"/>
          <w:szCs w:val="24"/>
        </w:rPr>
        <w:t xml:space="preserve"> v</w:t>
      </w:r>
      <w:r>
        <w:rPr>
          <w:rFonts w:ascii="Arial" w:hAnsi="Arial" w:cs="Arial"/>
          <w:sz w:val="24"/>
          <w:szCs w:val="24"/>
        </w:rPr>
        <w:t xml:space="preserve"> PN</w:t>
      </w:r>
    </w:p>
    <w:p w:rsidR="0021742B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</w:p>
    <w:p w:rsidR="0021742B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Spirituální anamnéza</w:t>
      </w:r>
      <w:r>
        <w:rPr>
          <w:rFonts w:ascii="Arial" w:hAnsi="Arial" w:cs="Arial"/>
          <w:b/>
          <w:sz w:val="24"/>
          <w:szCs w:val="24"/>
        </w:rPr>
        <w:t>:</w:t>
      </w:r>
      <w:r w:rsidRPr="00F629B6">
        <w:rPr>
          <w:rFonts w:ascii="Arial" w:hAnsi="Arial" w:cs="Arial"/>
          <w:b/>
          <w:sz w:val="24"/>
          <w:szCs w:val="24"/>
        </w:rPr>
        <w:t xml:space="preserve"> </w:t>
      </w:r>
    </w:p>
    <w:p w:rsidR="0021742B" w:rsidRPr="00F629B6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Religiózní praktiky:</w:t>
      </w:r>
      <w:r>
        <w:rPr>
          <w:rFonts w:ascii="Arial" w:hAnsi="Arial" w:cs="Arial"/>
          <w:sz w:val="24"/>
          <w:szCs w:val="24"/>
        </w:rPr>
        <w:t xml:space="preserve"> ateista</w:t>
      </w:r>
    </w:p>
    <w:p w:rsidR="0021742B" w:rsidRPr="00D06958" w:rsidRDefault="0021742B" w:rsidP="006F340E">
      <w:pPr>
        <w:jc w:val="both"/>
        <w:rPr>
          <w:rFonts w:ascii="Arial" w:hAnsi="Arial" w:cs="Arial"/>
          <w:sz w:val="24"/>
          <w:szCs w:val="24"/>
        </w:rPr>
      </w:pPr>
    </w:p>
    <w:p w:rsidR="0021742B" w:rsidRDefault="0021742B" w:rsidP="006F340E">
      <w:pPr>
        <w:jc w:val="both"/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21742B" w:rsidRPr="006370C0" w:rsidRDefault="0021742B" w:rsidP="006F340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21742B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1742B" w:rsidRPr="006370C0" w:rsidRDefault="0021742B" w:rsidP="006F340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90/55 mmHg.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6370C0" w:rsidRDefault="0021742B" w:rsidP="006F340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170 cm</w:t>
            </w:r>
          </w:p>
        </w:tc>
      </w:tr>
      <w:tr w:rsidR="0021742B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1742B" w:rsidRPr="006370C0" w:rsidRDefault="0021742B" w:rsidP="006F340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85/min</w:t>
            </w:r>
            <w:r w:rsidR="0046402B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6370C0" w:rsidRDefault="0021742B" w:rsidP="006F340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68 kg</w:t>
            </w:r>
          </w:p>
        </w:tc>
      </w:tr>
      <w:tr w:rsidR="0021742B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1742B" w:rsidRPr="006370C0" w:rsidRDefault="0021742B" w:rsidP="006F340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6/min</w:t>
            </w:r>
            <w:r w:rsidR="0046402B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6370C0" w:rsidRDefault="0021742B" w:rsidP="006F340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23,1</w:t>
            </w:r>
          </w:p>
        </w:tc>
      </w:tr>
      <w:tr w:rsidR="0021742B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1742B" w:rsidRPr="006370C0" w:rsidRDefault="0021742B" w:rsidP="006F340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39,8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6370C0" w:rsidRDefault="0021742B" w:rsidP="006F340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nekoordinované pohyby</w:t>
            </w:r>
          </w:p>
        </w:tc>
      </w:tr>
      <w:tr w:rsidR="0021742B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1742B" w:rsidRPr="006370C0" w:rsidRDefault="0021742B" w:rsidP="006F340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 xml:space="preserve">plné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1742B" w:rsidRPr="006370C0" w:rsidRDefault="0021742B" w:rsidP="006F340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0 Rh-</w:t>
            </w:r>
          </w:p>
        </w:tc>
      </w:tr>
    </w:tbl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</w:p>
    <w:p w:rsidR="0021742B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Přítomný stav vyšetřený lékařem: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 xml:space="preserve">pacient </w:t>
      </w:r>
      <w:r>
        <w:rPr>
          <w:rFonts w:ascii="Arial" w:hAnsi="Arial" w:cs="Arial"/>
          <w:sz w:val="24"/>
          <w:szCs w:val="24"/>
        </w:rPr>
        <w:t xml:space="preserve">- febrilní, orientován 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turgor kůže</w:t>
      </w:r>
      <w:r>
        <w:rPr>
          <w:rFonts w:ascii="Arial" w:hAnsi="Arial" w:cs="Arial"/>
          <w:sz w:val="24"/>
          <w:szCs w:val="24"/>
        </w:rPr>
        <w:t xml:space="preserve"> – přiměřený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BA2724">
        <w:rPr>
          <w:rFonts w:ascii="Arial" w:hAnsi="Arial" w:cs="Arial"/>
          <w:b/>
          <w:sz w:val="24"/>
          <w:szCs w:val="24"/>
        </w:rPr>
        <w:t>kůže</w:t>
      </w:r>
      <w:r>
        <w:rPr>
          <w:rFonts w:ascii="Arial" w:hAnsi="Arial" w:cs="Arial"/>
          <w:sz w:val="24"/>
          <w:szCs w:val="24"/>
        </w:rPr>
        <w:t xml:space="preserve"> – žlutě zbarvená, suchá, horká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hlava</w:t>
      </w:r>
      <w:r>
        <w:rPr>
          <w:rFonts w:ascii="Arial" w:hAnsi="Arial" w:cs="Arial"/>
          <w:sz w:val="24"/>
          <w:szCs w:val="24"/>
        </w:rPr>
        <w:t xml:space="preserve"> - bez patologického nálezu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krk</w:t>
      </w:r>
      <w:r>
        <w:rPr>
          <w:rFonts w:ascii="Arial" w:hAnsi="Arial" w:cs="Arial"/>
          <w:sz w:val="24"/>
          <w:szCs w:val="24"/>
        </w:rPr>
        <w:t xml:space="preserve"> - hmatné lymfatické uzliny submaldibulárně, jinak bez patologického nálezu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hrudník</w:t>
      </w:r>
      <w:r>
        <w:rPr>
          <w:rFonts w:ascii="Arial" w:hAnsi="Arial" w:cs="Arial"/>
          <w:sz w:val="24"/>
          <w:szCs w:val="24"/>
        </w:rPr>
        <w:t xml:space="preserve"> - souměrný, srdeční akce pravidelná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plíce</w:t>
      </w:r>
      <w:r>
        <w:rPr>
          <w:rFonts w:ascii="Arial" w:hAnsi="Arial" w:cs="Arial"/>
          <w:sz w:val="24"/>
          <w:szCs w:val="24"/>
        </w:rPr>
        <w:t xml:space="preserve"> - poklep plný, bez dušnosti či cyanózy 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břicho</w:t>
      </w:r>
      <w:r>
        <w:rPr>
          <w:rFonts w:ascii="Arial" w:hAnsi="Arial" w:cs="Arial"/>
          <w:sz w:val="24"/>
          <w:szCs w:val="24"/>
        </w:rPr>
        <w:t xml:space="preserve"> - klidné měkké, prohmatné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páteř</w:t>
      </w:r>
      <w:r>
        <w:rPr>
          <w:rFonts w:ascii="Arial" w:hAnsi="Arial" w:cs="Arial"/>
          <w:sz w:val="24"/>
          <w:szCs w:val="24"/>
        </w:rPr>
        <w:t xml:space="preserve"> - PV spasmy LS oblasti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HK+</w:t>
      </w:r>
      <w:r w:rsidRPr="000D57E7">
        <w:rPr>
          <w:rFonts w:ascii="Arial" w:hAnsi="Arial" w:cs="Arial"/>
          <w:b/>
          <w:sz w:val="24"/>
          <w:szCs w:val="24"/>
        </w:rPr>
        <w:t>DK</w:t>
      </w:r>
      <w:r>
        <w:rPr>
          <w:rFonts w:ascii="Arial" w:hAnsi="Arial" w:cs="Arial"/>
          <w:sz w:val="24"/>
          <w:szCs w:val="24"/>
        </w:rPr>
        <w:t xml:space="preserve"> - akry chladné bez otoků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</w:p>
    <w:p w:rsidR="0021742B" w:rsidRPr="006A2814" w:rsidRDefault="0021742B" w:rsidP="00BA27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Suspektní l</w:t>
      </w:r>
      <w:r w:rsidRPr="006A2814">
        <w:rPr>
          <w:rFonts w:ascii="Arial" w:hAnsi="Arial" w:cs="Arial"/>
          <w:b/>
          <w:sz w:val="24"/>
          <w:szCs w:val="24"/>
        </w:rPr>
        <w:t>ékařská dg.:</w:t>
      </w:r>
      <w:r>
        <w:rPr>
          <w:rFonts w:ascii="Arial" w:hAnsi="Arial" w:cs="Arial"/>
          <w:b/>
          <w:sz w:val="24"/>
          <w:szCs w:val="24"/>
        </w:rPr>
        <w:t xml:space="preserve"> B 64 </w:t>
      </w:r>
      <w:r>
        <w:rPr>
          <w:rFonts w:ascii="Arial" w:hAnsi="Arial" w:cs="Arial"/>
          <w:sz w:val="24"/>
          <w:szCs w:val="24"/>
        </w:rPr>
        <w:t>neurčené protozoární nemoci</w:t>
      </w:r>
    </w:p>
    <w:p w:rsidR="0021742B" w:rsidRPr="007A18FC" w:rsidRDefault="0021742B" w:rsidP="006F340E">
      <w:pPr>
        <w:jc w:val="both"/>
        <w:rPr>
          <w:rFonts w:ascii="Arial" w:hAnsi="Arial" w:cs="Arial"/>
          <w:sz w:val="24"/>
          <w:szCs w:val="24"/>
        </w:rPr>
      </w:pPr>
    </w:p>
    <w:p w:rsidR="0021742B" w:rsidRPr="0051220E" w:rsidRDefault="0021742B" w:rsidP="006F340E">
      <w:pPr>
        <w:jc w:val="both"/>
        <w:rPr>
          <w:rFonts w:ascii="Arial" w:hAnsi="Arial" w:cs="Arial"/>
          <w:sz w:val="24"/>
          <w:szCs w:val="24"/>
        </w:rPr>
      </w:pP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Akutní</w:t>
      </w:r>
      <w:r w:rsidRPr="000D57E7">
        <w:rPr>
          <w:rFonts w:ascii="Arial" w:hAnsi="Arial" w:cs="Arial"/>
          <w:b/>
          <w:sz w:val="24"/>
          <w:szCs w:val="24"/>
        </w:rPr>
        <w:t xml:space="preserve"> hospitalizace</w:t>
      </w:r>
      <w:r>
        <w:rPr>
          <w:rFonts w:ascii="Arial" w:hAnsi="Arial" w:cs="Arial"/>
          <w:sz w:val="24"/>
          <w:szCs w:val="24"/>
        </w:rPr>
        <w:t>: s ohledem na epidemiologickou anamnézu bylo pacientovi indikováno laboratorní vyšetření a vyšetření tlustého kapky krve z důvodu podezření na malárii. Na základě výsledků vyšetření dostupných po 1 hodině byla pacientovi zpřesněna diagnóza na B 51 Malárie, původce: Plasmodium vivax.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Podána</w:t>
      </w:r>
      <w:r w:rsidRPr="0051220E">
        <w:rPr>
          <w:rFonts w:ascii="Arial" w:hAnsi="Arial" w:cs="Arial"/>
          <w:sz w:val="24"/>
          <w:szCs w:val="24"/>
        </w:rPr>
        <w:t xml:space="preserve"> antipyretika </w:t>
      </w:r>
      <w:r>
        <w:rPr>
          <w:rFonts w:ascii="Arial" w:hAnsi="Arial" w:cs="Arial"/>
          <w:sz w:val="24"/>
          <w:szCs w:val="24"/>
        </w:rPr>
        <w:t>P</w:t>
      </w:r>
      <w:r w:rsidRPr="0051220E">
        <w:rPr>
          <w:rFonts w:ascii="Arial" w:hAnsi="Arial" w:cs="Arial"/>
          <w:sz w:val="24"/>
          <w:szCs w:val="24"/>
        </w:rPr>
        <w:t>aralen 500 mg 2</w:t>
      </w:r>
      <w:r>
        <w:rPr>
          <w:rFonts w:ascii="Arial" w:hAnsi="Arial" w:cs="Arial"/>
          <w:sz w:val="24"/>
          <w:szCs w:val="24"/>
        </w:rPr>
        <w:t xml:space="preserve"> </w:t>
      </w:r>
      <w:r w:rsidRPr="0051220E">
        <w:rPr>
          <w:rFonts w:ascii="Arial" w:hAnsi="Arial" w:cs="Arial"/>
          <w:sz w:val="24"/>
          <w:szCs w:val="24"/>
        </w:rPr>
        <w:t>tbl., infuzní terapie F 1/1 i.</w:t>
      </w:r>
      <w:r>
        <w:rPr>
          <w:rFonts w:ascii="Arial" w:hAnsi="Arial" w:cs="Arial"/>
          <w:sz w:val="24"/>
          <w:szCs w:val="24"/>
        </w:rPr>
        <w:t xml:space="preserve"> v., nasazena léčba antimalarikem Plaquenil tbl. 60x200 mg v dávce 800 mg (4 tablety) jako počáteční dávka, o 6 - 8 hodin později 400 mg (2 tablety) a potom 400 mg (2 tablety) 1x denně po dobu dalších 2 dnů.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  <w:r w:rsidRPr="0051220E">
        <w:rPr>
          <w:rFonts w:ascii="Arial" w:hAnsi="Arial" w:cs="Arial"/>
          <w:sz w:val="24"/>
          <w:szCs w:val="24"/>
        </w:rPr>
        <w:t xml:space="preserve"> </w:t>
      </w:r>
    </w:p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</w:p>
    <w:p w:rsidR="0021742B" w:rsidRPr="006A2814" w:rsidRDefault="0021742B" w:rsidP="006F340E">
      <w:pPr>
        <w:jc w:val="both"/>
        <w:rPr>
          <w:rFonts w:ascii="Arial" w:hAnsi="Arial" w:cs="Arial"/>
          <w:b/>
          <w:sz w:val="24"/>
          <w:szCs w:val="24"/>
        </w:rPr>
      </w:pPr>
    </w:p>
    <w:p w:rsidR="0021742B" w:rsidRPr="004D1B23" w:rsidRDefault="0021742B" w:rsidP="00FE1EFD">
      <w:pPr>
        <w:pStyle w:val="Nadpis1"/>
        <w:spacing w:line="360" w:lineRule="auto"/>
        <w:ind w:left="142"/>
        <w:jc w:val="center"/>
      </w:pPr>
      <w:r>
        <w:rPr>
          <w:rFonts w:cs="Arial"/>
          <w:color w:val="0000FF"/>
          <w:sz w:val="28"/>
          <w:szCs w:val="28"/>
        </w:rPr>
        <w:lastRenderedPageBreak/>
        <w:t>Ošetřovatelský proces u pacienta s malárií</w:t>
      </w:r>
    </w:p>
    <w:p w:rsidR="0021742B" w:rsidRDefault="0021742B" w:rsidP="006F340E">
      <w:pPr>
        <w:pStyle w:val="Nadpis1"/>
        <w:spacing w:line="360" w:lineRule="auto"/>
        <w:ind w:left="142"/>
        <w:jc w:val="both"/>
        <w:rPr>
          <w:rFonts w:cs="Arial"/>
          <w:color w:val="0000FF"/>
          <w:szCs w:val="24"/>
        </w:rPr>
      </w:pPr>
    </w:p>
    <w:p w:rsidR="0021742B" w:rsidRDefault="0021742B" w:rsidP="006F340E">
      <w:pPr>
        <w:pStyle w:val="Nadpis1"/>
        <w:spacing w:line="360" w:lineRule="auto"/>
        <w:ind w:left="142"/>
        <w:jc w:val="both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21742B" w:rsidRPr="00CC30EB" w:rsidRDefault="0021742B" w:rsidP="006F340E">
      <w:pPr>
        <w:pStyle w:val="Nadpis1"/>
        <w:spacing w:line="360" w:lineRule="auto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21742B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1742B" w:rsidRPr="00FF4A98" w:rsidRDefault="0021742B" w:rsidP="006F340E">
      <w:pPr>
        <w:pStyle w:val="Nadpis1"/>
        <w:jc w:val="both"/>
        <w:rPr>
          <w:rFonts w:cs="Arial"/>
          <w:b w:val="0"/>
          <w:szCs w:val="24"/>
        </w:rPr>
      </w:pPr>
    </w:p>
    <w:p w:rsidR="0021742B" w:rsidRPr="00CC30EB" w:rsidRDefault="0021742B" w:rsidP="006F340E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21742B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2B" w:rsidRPr="00FF4A98" w:rsidRDefault="0021742B" w:rsidP="006F340E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21742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Epidemiologická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</w:p>
    <w:p w:rsidR="0021742B" w:rsidRPr="00CC30EB" w:rsidRDefault="0021742B" w:rsidP="006F340E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21742B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742B" w:rsidRPr="008878A3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78A3">
              <w:rPr>
                <w:rFonts w:ascii="Arial" w:hAnsi="Arial" w:cs="Arial"/>
                <w:sz w:val="24"/>
                <w:szCs w:val="24"/>
              </w:rPr>
              <w:t>B 51 Malárie, průvodce: Plasmodium vivax</w:t>
            </w:r>
          </w:p>
        </w:tc>
      </w:tr>
      <w:tr w:rsidR="0021742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1742B" w:rsidRDefault="0021742B" w:rsidP="006F340E">
      <w:pPr>
        <w:jc w:val="both"/>
        <w:rPr>
          <w:rFonts w:ascii="Arial" w:hAnsi="Arial" w:cs="Arial"/>
          <w:sz w:val="24"/>
          <w:szCs w:val="24"/>
        </w:rPr>
      </w:pPr>
    </w:p>
    <w:p w:rsidR="0021742B" w:rsidRPr="00CC30EB" w:rsidRDefault="0021742B" w:rsidP="006F340E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21742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21742B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21742B" w:rsidRPr="00CC30EB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2174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1742B" w:rsidRDefault="0021742B" w:rsidP="006F340E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21742B" w:rsidRPr="00CC30EB" w:rsidRDefault="0021742B" w:rsidP="006F340E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21742B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0A0215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0A0215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0A0215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0A0215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0A0215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0A0215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46402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46402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46402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1742B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1742B" w:rsidRPr="00FF4A98" w:rsidRDefault="0021742B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1742B" w:rsidRPr="00FF4A98" w:rsidRDefault="0021742B" w:rsidP="006F340E">
      <w:pPr>
        <w:jc w:val="both"/>
        <w:rPr>
          <w:rFonts w:ascii="Arial" w:hAnsi="Arial" w:cs="Arial"/>
          <w:sz w:val="24"/>
          <w:szCs w:val="24"/>
        </w:rPr>
      </w:pPr>
    </w:p>
    <w:p w:rsidR="0021742B" w:rsidRPr="00FF4A98" w:rsidRDefault="0021742B" w:rsidP="006F340E">
      <w:pPr>
        <w:pStyle w:val="Nadpis1"/>
        <w:spacing w:line="360" w:lineRule="auto"/>
        <w:ind w:left="142"/>
        <w:jc w:val="both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pacienta dle modelu</w:t>
      </w:r>
    </w:p>
    <w:p w:rsidR="0021742B" w:rsidRDefault="0021742B" w:rsidP="00FE1EFD">
      <w:pPr>
        <w:spacing w:line="360" w:lineRule="auto"/>
        <w:ind w:firstLine="142"/>
        <w:jc w:val="both"/>
        <w:rPr>
          <w:rStyle w:val="Hypertextovodkaz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21742B" w:rsidRDefault="0021742B" w:rsidP="006F340E">
      <w:pPr>
        <w:spacing w:line="360" w:lineRule="auto"/>
        <w:jc w:val="both"/>
        <w:rPr>
          <w:rStyle w:val="Hypertextovodkaz"/>
          <w:rFonts w:ascii="Arial" w:hAnsi="Arial" w:cs="Arial"/>
          <w:sz w:val="24"/>
          <w:szCs w:val="24"/>
        </w:rPr>
      </w:pPr>
    </w:p>
    <w:p w:rsidR="0021742B" w:rsidRPr="00FA2BDB" w:rsidRDefault="0021742B" w:rsidP="00AD4364">
      <w:pPr>
        <w:pStyle w:val="Nadpis1"/>
        <w:ind w:left="142"/>
        <w:rPr>
          <w:rFonts w:cs="Arial"/>
          <w:color w:val="0000FF"/>
          <w:szCs w:val="24"/>
        </w:rPr>
      </w:pPr>
      <w:r w:rsidRPr="00FA2BDB">
        <w:rPr>
          <w:rFonts w:cs="Arial"/>
          <w:color w:val="0000FF"/>
          <w:szCs w:val="24"/>
        </w:rPr>
        <w:t>Zhodnocení pacienta dle modelu</w:t>
      </w:r>
      <w:r>
        <w:rPr>
          <w:rFonts w:cs="Arial"/>
          <w:color w:val="0000FF"/>
          <w:szCs w:val="24"/>
        </w:rPr>
        <w:t xml:space="preserve"> GORDON</w:t>
      </w:r>
    </w:p>
    <w:p w:rsidR="0021742B" w:rsidRDefault="0021742B" w:rsidP="00AD4364">
      <w:pPr>
        <w:pStyle w:val="Nadpis1"/>
        <w:ind w:left="142"/>
        <w:rPr>
          <w:rFonts w:cs="Arial"/>
          <w:color w:val="0000FF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21742B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742B" w:rsidRPr="00FF4A98" w:rsidRDefault="0021742B" w:rsidP="00901D69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742B" w:rsidRPr="00FF4A98" w:rsidRDefault="0021742B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742B" w:rsidRPr="00FF4A98" w:rsidRDefault="0021742B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742B" w:rsidRPr="00FF4A98" w:rsidRDefault="0021742B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742B" w:rsidRPr="00FF4A98" w:rsidRDefault="0021742B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742B" w:rsidRPr="00FF4A98" w:rsidRDefault="0021742B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742B" w:rsidRPr="00FF4A98" w:rsidRDefault="0021742B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742B" w:rsidRPr="00FF4A98" w:rsidRDefault="0021742B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742B" w:rsidRPr="00FF4A98" w:rsidRDefault="0021742B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742B" w:rsidRPr="00FF4A98" w:rsidRDefault="0021742B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742B" w:rsidRPr="00FF4A98" w:rsidRDefault="0021742B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742B" w:rsidRPr="00FF4A98" w:rsidRDefault="0021742B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742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1742B" w:rsidRPr="00F00C96" w:rsidRDefault="0021742B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742B" w:rsidRPr="00FF4A98" w:rsidRDefault="0021742B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1742B" w:rsidRDefault="0021742B" w:rsidP="00AD4364"/>
    <w:p w:rsidR="0021742B" w:rsidRDefault="0021742B" w:rsidP="00AD4364"/>
    <w:p w:rsidR="0021742B" w:rsidRPr="00023FAD" w:rsidRDefault="0021742B" w:rsidP="006F340E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21742B" w:rsidRPr="007D1D04" w:rsidRDefault="0021742B" w:rsidP="00AD436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pacienta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21742B" w:rsidRDefault="0021742B" w:rsidP="00AD436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utříděná data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za využití koncepčního modelu M. Gordon zhodnoťte a doplňte chybějící údaje.</w:t>
      </w:r>
    </w:p>
    <w:p w:rsidR="0021742B" w:rsidRPr="007D1D04" w:rsidRDefault="0021742B" w:rsidP="00AD436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21742B" w:rsidRPr="007D1D04" w:rsidRDefault="0021742B" w:rsidP="00AD436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21742B" w:rsidRPr="007D1D04" w:rsidRDefault="0021742B" w:rsidP="00AD436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a navrhněte u ní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21742B" w:rsidRDefault="0021742B" w:rsidP="006F340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Určete, jaká hygienická opatření jsou třeba dodržovat v průběhu hospitalizace pacienta.</w:t>
      </w:r>
    </w:p>
    <w:p w:rsidR="0021742B" w:rsidRDefault="0021742B" w:rsidP="006F340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Doplňte vhodně chybějící epidemiologickou anamnézu (užívání druh antimalarika po dobu pobytu v Sierra Leone, délka pobytu v ČR před propuknutím onemocnění apod.) a vysvětlete její význam pro diagnózu onemocnění malárií.</w:t>
      </w:r>
    </w:p>
    <w:p w:rsidR="0021742B" w:rsidRPr="00023FAD" w:rsidRDefault="0021742B" w:rsidP="006F340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Vysvětlete, co znamená termín letištní malárie.</w:t>
      </w:r>
    </w:p>
    <w:sectPr w:rsidR="0021742B" w:rsidRPr="00023FAD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5E5" w:rsidRDefault="00FD75E5" w:rsidP="00A5128C">
      <w:r>
        <w:separator/>
      </w:r>
    </w:p>
  </w:endnote>
  <w:endnote w:type="continuationSeparator" w:id="0">
    <w:p w:rsidR="00FD75E5" w:rsidRDefault="00FD75E5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5E5" w:rsidRDefault="00FD75E5" w:rsidP="00A5128C">
      <w:r>
        <w:separator/>
      </w:r>
    </w:p>
  </w:footnote>
  <w:footnote w:type="continuationSeparator" w:id="0">
    <w:p w:rsidR="00FD75E5" w:rsidRDefault="00FD75E5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2B" w:rsidRDefault="0021742B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21742B" w:rsidRPr="00A5128C" w:rsidRDefault="0021742B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70C49"/>
    <w:rsid w:val="0008005E"/>
    <w:rsid w:val="000A0215"/>
    <w:rsid w:val="000B3603"/>
    <w:rsid w:val="000C0090"/>
    <w:rsid w:val="000C7352"/>
    <w:rsid w:val="000D57E7"/>
    <w:rsid w:val="0014470C"/>
    <w:rsid w:val="001C50A5"/>
    <w:rsid w:val="001F2043"/>
    <w:rsid w:val="002057C3"/>
    <w:rsid w:val="0021742B"/>
    <w:rsid w:val="002370F2"/>
    <w:rsid w:val="002428F9"/>
    <w:rsid w:val="00262E90"/>
    <w:rsid w:val="003404DA"/>
    <w:rsid w:val="00341882"/>
    <w:rsid w:val="003508AE"/>
    <w:rsid w:val="00374A2D"/>
    <w:rsid w:val="00384220"/>
    <w:rsid w:val="00394C5F"/>
    <w:rsid w:val="00397E02"/>
    <w:rsid w:val="003F2075"/>
    <w:rsid w:val="0043475F"/>
    <w:rsid w:val="00443F08"/>
    <w:rsid w:val="0046402B"/>
    <w:rsid w:val="00483FC6"/>
    <w:rsid w:val="0048641A"/>
    <w:rsid w:val="004B5477"/>
    <w:rsid w:val="004D1B23"/>
    <w:rsid w:val="004E0BC7"/>
    <w:rsid w:val="0051220E"/>
    <w:rsid w:val="00536CB3"/>
    <w:rsid w:val="005467AF"/>
    <w:rsid w:val="00557B5D"/>
    <w:rsid w:val="00572FCD"/>
    <w:rsid w:val="0057530D"/>
    <w:rsid w:val="005B38FA"/>
    <w:rsid w:val="005C4A55"/>
    <w:rsid w:val="0060696B"/>
    <w:rsid w:val="00612C92"/>
    <w:rsid w:val="00622DF0"/>
    <w:rsid w:val="006370C0"/>
    <w:rsid w:val="0064647B"/>
    <w:rsid w:val="006827A1"/>
    <w:rsid w:val="00686E9F"/>
    <w:rsid w:val="006A2814"/>
    <w:rsid w:val="006B2468"/>
    <w:rsid w:val="006D0483"/>
    <w:rsid w:val="006F340E"/>
    <w:rsid w:val="00762B2F"/>
    <w:rsid w:val="00763385"/>
    <w:rsid w:val="00782BA0"/>
    <w:rsid w:val="007835B2"/>
    <w:rsid w:val="007A18FC"/>
    <w:rsid w:val="007A76AC"/>
    <w:rsid w:val="007C59A9"/>
    <w:rsid w:val="007C6857"/>
    <w:rsid w:val="007D1D04"/>
    <w:rsid w:val="007D2527"/>
    <w:rsid w:val="007D6BD3"/>
    <w:rsid w:val="00841741"/>
    <w:rsid w:val="008608F2"/>
    <w:rsid w:val="0086351D"/>
    <w:rsid w:val="008878A3"/>
    <w:rsid w:val="00896983"/>
    <w:rsid w:val="008E5600"/>
    <w:rsid w:val="008E5A8B"/>
    <w:rsid w:val="00901D69"/>
    <w:rsid w:val="00911A59"/>
    <w:rsid w:val="009605E5"/>
    <w:rsid w:val="009C10F4"/>
    <w:rsid w:val="009C6375"/>
    <w:rsid w:val="00A5128C"/>
    <w:rsid w:val="00A51350"/>
    <w:rsid w:val="00A93B51"/>
    <w:rsid w:val="00AB2287"/>
    <w:rsid w:val="00AC59FE"/>
    <w:rsid w:val="00AD4364"/>
    <w:rsid w:val="00B052AB"/>
    <w:rsid w:val="00BA2724"/>
    <w:rsid w:val="00C87CED"/>
    <w:rsid w:val="00CA7239"/>
    <w:rsid w:val="00CC30EB"/>
    <w:rsid w:val="00CC66D7"/>
    <w:rsid w:val="00CD1414"/>
    <w:rsid w:val="00D06958"/>
    <w:rsid w:val="00D33CCE"/>
    <w:rsid w:val="00D5169A"/>
    <w:rsid w:val="00D610D8"/>
    <w:rsid w:val="00D67AB0"/>
    <w:rsid w:val="00E353E0"/>
    <w:rsid w:val="00E55254"/>
    <w:rsid w:val="00E9615E"/>
    <w:rsid w:val="00EC46CD"/>
    <w:rsid w:val="00EC4D86"/>
    <w:rsid w:val="00EE032D"/>
    <w:rsid w:val="00F00C96"/>
    <w:rsid w:val="00F0619A"/>
    <w:rsid w:val="00F21DFA"/>
    <w:rsid w:val="00F60A8C"/>
    <w:rsid w:val="00F629B6"/>
    <w:rsid w:val="00F675D2"/>
    <w:rsid w:val="00F750D4"/>
    <w:rsid w:val="00FA2BDB"/>
    <w:rsid w:val="00FD75E5"/>
    <w:rsid w:val="00FE1EFD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9C637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CF321D-F385-4661-8BA2-BE27C424B558}"/>
</file>

<file path=customXml/itemProps2.xml><?xml version="1.0" encoding="utf-8"?>
<ds:datastoreItem xmlns:ds="http://schemas.openxmlformats.org/officeDocument/2006/customXml" ds:itemID="{38D27B98-429F-46E1-A929-3E06B4B85C16}"/>
</file>

<file path=customXml/itemProps3.xml><?xml version="1.0" encoding="utf-8"?>
<ds:datastoreItem xmlns:ds="http://schemas.openxmlformats.org/officeDocument/2006/customXml" ds:itemID="{C3731830-4AFA-4B17-AE74-8334E069D2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794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malárií</vt:lpstr>
    </vt:vector>
  </TitlesOfParts>
  <Company>HP</Company>
  <LinksUpToDate>false</LinksUpToDate>
  <CharactersWithSpaces>5473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malárií</dc:title>
  <dc:creator>VSZDRAV</dc:creator>
  <cp:lastModifiedBy>Němcová Jitka</cp:lastModifiedBy>
  <cp:revision>2</cp:revision>
  <dcterms:created xsi:type="dcterms:W3CDTF">2015-04-14T09:22:00Z</dcterms:created>
  <dcterms:modified xsi:type="dcterms:W3CDTF">2015-04-14T09:22:00Z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