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64A" w:rsidRDefault="009C164A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po operaci (plastice) tříselné kýly</w:t>
      </w:r>
    </w:p>
    <w:p w:rsidR="009C164A" w:rsidRPr="004B5477" w:rsidRDefault="009C164A" w:rsidP="004B5477"/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Pacient muž 68 let byl přijat dne 20.</w:t>
      </w:r>
      <w:r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>11.</w:t>
      </w:r>
      <w:r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>2013 na chirurgické oddělení k plánované operaci pravostranné tříselné kýly. Nyní</w:t>
      </w:r>
      <w:r w:rsidR="00B022E4">
        <w:rPr>
          <w:rFonts w:ascii="Arial" w:hAnsi="Arial" w:cs="Arial"/>
          <w:sz w:val="24"/>
          <w:szCs w:val="24"/>
        </w:rPr>
        <w:t xml:space="preserve"> je hospitalizovaný 3. den. Dne</w:t>
      </w:r>
      <w:r w:rsidRPr="000328C3">
        <w:rPr>
          <w:rFonts w:ascii="Arial" w:hAnsi="Arial" w:cs="Arial"/>
          <w:sz w:val="24"/>
          <w:szCs w:val="24"/>
        </w:rPr>
        <w:t xml:space="preserve"> 21.</w:t>
      </w:r>
      <w:r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>11.</w:t>
      </w:r>
      <w:r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>2013 podstoupil plánovaný zákrok, nyní 1. pooperační den. Pacient má zavedený Redonův drén, udává bolest operační rány číslem 5 na škále bolesti (0-10). Dnes ráno proveden lékařem převaz operační rány, ta je klidná, znovu sterilně krytá. Pacient je afebrilní, hygiena prováděna s dopomocí. Močí spontánně. Na stolici po operaci ještě nebyl, udává pocit zvýšeného nadmutí břicha (až bolestivého), škrundání</w:t>
      </w:r>
      <w:r w:rsidR="00B022E4">
        <w:rPr>
          <w:rFonts w:ascii="Arial" w:hAnsi="Arial" w:cs="Arial"/>
          <w:sz w:val="24"/>
          <w:szCs w:val="24"/>
        </w:rPr>
        <w:t xml:space="preserve"> ve střevech, plyny odcházejí. </w:t>
      </w:r>
      <w:r w:rsidRPr="000328C3">
        <w:rPr>
          <w:rFonts w:ascii="Arial" w:hAnsi="Arial" w:cs="Arial"/>
          <w:sz w:val="24"/>
          <w:szCs w:val="24"/>
        </w:rPr>
        <w:t>Pacient byl mobilizován již nultý den po operaci, dnes již chodil po chodbě sám. S fyzioterapeutem provádí denně dechová cvičení, nácvik vstávání z lůžka s ochranou operační rány a chůzi. Hospitalizaci snáší dobře. Verbalizuje noční buzení z důvodu bolesti a neznámého prostředí. Pacientovi je podávána chronická medikace a medikace proti bolesti. Z důvodu rizika tromboembolické nemoci jsou ordinované elastické punčochy, které pacient nosí a Clexane 0,6 s.</w:t>
      </w:r>
      <w:r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 xml:space="preserve">c. po 24 hodinách. Dieta číslo 2. Pacient je snaživý a spolupracující, snaží se rehabilitovat i sám. Při dlouhém ležení ho bolí záda. Nosí brýle na čtení a naslouchadlo, hůře slyší. Fyziologické funkce </w:t>
      </w:r>
      <w:r>
        <w:rPr>
          <w:rFonts w:ascii="Arial" w:hAnsi="Arial" w:cs="Arial"/>
          <w:sz w:val="24"/>
          <w:szCs w:val="24"/>
        </w:rPr>
        <w:t xml:space="preserve">dnes </w:t>
      </w:r>
      <w:r w:rsidRPr="000328C3">
        <w:rPr>
          <w:rFonts w:ascii="Arial" w:hAnsi="Arial" w:cs="Arial"/>
          <w:sz w:val="24"/>
          <w:szCs w:val="24"/>
        </w:rPr>
        <w:t>ráno: TK: 135/95</w:t>
      </w:r>
      <w:r>
        <w:rPr>
          <w:rFonts w:ascii="Arial" w:hAnsi="Arial" w:cs="Arial"/>
          <w:sz w:val="24"/>
          <w:szCs w:val="24"/>
        </w:rPr>
        <w:t xml:space="preserve"> mmHg</w:t>
      </w:r>
      <w:r w:rsidRPr="000328C3">
        <w:rPr>
          <w:rFonts w:ascii="Arial" w:hAnsi="Arial" w:cs="Arial"/>
          <w:sz w:val="24"/>
          <w:szCs w:val="24"/>
        </w:rPr>
        <w:t>, P: 79/min</w:t>
      </w:r>
      <w:r w:rsidR="00B022E4">
        <w:rPr>
          <w:rFonts w:ascii="Arial" w:hAnsi="Arial" w:cs="Arial"/>
          <w:sz w:val="24"/>
          <w:szCs w:val="24"/>
        </w:rPr>
        <w:t>.</w:t>
      </w:r>
      <w:r w:rsidRPr="000328C3">
        <w:rPr>
          <w:rFonts w:ascii="Arial" w:hAnsi="Arial" w:cs="Arial"/>
          <w:sz w:val="24"/>
          <w:szCs w:val="24"/>
        </w:rPr>
        <w:t>, D: 20/min</w:t>
      </w:r>
      <w:r w:rsidR="00B022E4">
        <w:rPr>
          <w:rFonts w:ascii="Arial" w:hAnsi="Arial" w:cs="Arial"/>
          <w:sz w:val="24"/>
          <w:szCs w:val="24"/>
        </w:rPr>
        <w:t>.</w:t>
      </w:r>
      <w:r w:rsidRPr="000328C3">
        <w:rPr>
          <w:rFonts w:ascii="Arial" w:hAnsi="Arial" w:cs="Arial"/>
          <w:sz w:val="24"/>
          <w:szCs w:val="24"/>
        </w:rPr>
        <w:t>, TT: 36,6 °C. Pacient je dostatečně hydratovaný,</w:t>
      </w:r>
      <w:r>
        <w:rPr>
          <w:rFonts w:ascii="Arial" w:hAnsi="Arial" w:cs="Arial"/>
          <w:sz w:val="24"/>
          <w:szCs w:val="24"/>
        </w:rPr>
        <w:t xml:space="preserve"> vypije denně 2 litry tekutin. </w:t>
      </w:r>
      <w:r w:rsidRPr="000328C3">
        <w:rPr>
          <w:rFonts w:ascii="Arial" w:hAnsi="Arial" w:cs="Arial"/>
          <w:sz w:val="24"/>
          <w:szCs w:val="24"/>
        </w:rPr>
        <w:t xml:space="preserve">Pacient je vášnivým myslivcem, proto bude nutná edukace před propuštěním o klidovém režimu a redukci hmotnosti. </w:t>
      </w:r>
      <w:r>
        <w:rPr>
          <w:rFonts w:ascii="Arial" w:hAnsi="Arial" w:cs="Arial"/>
          <w:sz w:val="24"/>
          <w:szCs w:val="24"/>
        </w:rPr>
        <w:t>Je již v důchodu, žije s manželkou. Z anamnézy jsou podstatné údaje o chronických onemocněních: CHOPN, obezita, dále úraz v roce 2003, kdy po pádu byl hospitalizován s frakturou L2. Nechodí na preventivní vyšetření, jen navštěvuje svého praktického lékaře kvůli receptům na léky, které dlouhodobě užívá.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Při příjmu: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TK: 135/90</w:t>
      </w:r>
      <w:r>
        <w:rPr>
          <w:rFonts w:ascii="Arial" w:hAnsi="Arial" w:cs="Arial"/>
          <w:sz w:val="24"/>
          <w:szCs w:val="24"/>
        </w:rPr>
        <w:t xml:space="preserve"> mmHg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Výška: 175 cm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P: 90/min.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Hmotnost: 105,8 kg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D: 18/min. pravidelný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BMI: 34,55 - obezita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TT: 36</w:t>
      </w:r>
      <w:r w:rsidR="00B022E4">
        <w:rPr>
          <w:rFonts w:ascii="Arial" w:hAnsi="Arial" w:cs="Arial"/>
          <w:sz w:val="24"/>
          <w:szCs w:val="24"/>
        </w:rPr>
        <w:t xml:space="preserve"> </w:t>
      </w:r>
      <w:r w:rsidRPr="000328C3">
        <w:rPr>
          <w:rFonts w:ascii="Arial" w:hAnsi="Arial" w:cs="Arial"/>
          <w:sz w:val="24"/>
          <w:szCs w:val="24"/>
        </w:rPr>
        <w:t>°C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Pohyblivost: bez omezení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Stav vědomí: při vědomí, orientovaný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Krevní skupina: A, Rh +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Chronická medikace: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Prestarium neo forte 10 mg tbl. 1-0-0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Betaloc sr 200 mg tbl. 0,5-0-0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Rhefluin 30, 5/50 mg tbl. 1-0-0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Tramadol 100 mg tbl. dle potřeby</w:t>
      </w:r>
      <w:r>
        <w:rPr>
          <w:rFonts w:ascii="Arial" w:hAnsi="Arial" w:cs="Arial"/>
          <w:sz w:val="24"/>
          <w:szCs w:val="24"/>
        </w:rPr>
        <w:t xml:space="preserve"> (maximálně 3 tbl denně)</w:t>
      </w:r>
    </w:p>
    <w:p w:rsidR="009C164A" w:rsidRPr="000328C3" w:rsidRDefault="009C164A" w:rsidP="000328C3">
      <w:pPr>
        <w:jc w:val="both"/>
        <w:rPr>
          <w:rFonts w:ascii="Arial" w:hAnsi="Arial" w:cs="Arial"/>
          <w:sz w:val="24"/>
          <w:szCs w:val="24"/>
        </w:rPr>
      </w:pPr>
      <w:r w:rsidRPr="000328C3">
        <w:rPr>
          <w:rFonts w:ascii="Arial" w:hAnsi="Arial" w:cs="Arial"/>
          <w:sz w:val="24"/>
          <w:szCs w:val="24"/>
        </w:rPr>
        <w:t>Tensiomin 12,5 mg tbl. při vyšší hodnotě TK</w:t>
      </w:r>
    </w:p>
    <w:p w:rsidR="009C164A" w:rsidRDefault="009C164A" w:rsidP="000328C3">
      <w:pPr>
        <w:rPr>
          <w:rFonts w:ascii="Arial" w:hAnsi="Arial" w:cs="Arial"/>
        </w:rPr>
      </w:pPr>
    </w:p>
    <w:p w:rsidR="009C164A" w:rsidRDefault="009C164A" w:rsidP="000328C3">
      <w:pPr>
        <w:rPr>
          <w:rFonts w:ascii="Arial" w:hAnsi="Arial" w:cs="Arial"/>
        </w:rPr>
      </w:pPr>
    </w:p>
    <w:p w:rsidR="009C164A" w:rsidRDefault="009C164A" w:rsidP="000328C3">
      <w:pPr>
        <w:rPr>
          <w:rFonts w:ascii="Arial" w:hAnsi="Arial" w:cs="Arial"/>
        </w:rPr>
      </w:pPr>
    </w:p>
    <w:p w:rsidR="009C164A" w:rsidRPr="00F63B62" w:rsidRDefault="009C164A" w:rsidP="000328C3">
      <w:pPr>
        <w:rPr>
          <w:rFonts w:ascii="Arial" w:hAnsi="Arial" w:cs="Arial"/>
        </w:rPr>
      </w:pPr>
    </w:p>
    <w:p w:rsidR="009C164A" w:rsidRDefault="009C164A" w:rsidP="005D1F6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lastRenderedPageBreak/>
        <w:t>Ošetřovatelský proces u pacienta po operaci (plastice) tříselné kýly</w:t>
      </w:r>
    </w:p>
    <w:p w:rsidR="009C164A" w:rsidRPr="005D1F62" w:rsidRDefault="009C164A" w:rsidP="005D1F62"/>
    <w:p w:rsidR="009C164A" w:rsidRDefault="009C164A" w:rsidP="005D1F62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9C164A" w:rsidRPr="00CC30EB" w:rsidRDefault="009C164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9C164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malé město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B022E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vyučen, nyní v </w:t>
            </w:r>
            <w:r w:rsidR="009C164A">
              <w:rPr>
                <w:rFonts w:ascii="Arial" w:hAnsi="Arial" w:cs="Arial"/>
                <w:sz w:val="24"/>
                <w:szCs w:val="24"/>
              </w:rPr>
              <w:t>důchodu</w:t>
            </w:r>
          </w:p>
        </w:tc>
      </w:tr>
      <w:tr w:rsidR="009C164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164A" w:rsidRPr="00FF4A98" w:rsidRDefault="009C164A" w:rsidP="00D67AB0">
      <w:pPr>
        <w:pStyle w:val="Nadpis1"/>
        <w:rPr>
          <w:rFonts w:cs="Arial"/>
          <w:b w:val="0"/>
          <w:szCs w:val="24"/>
        </w:rPr>
      </w:pPr>
    </w:p>
    <w:p w:rsidR="009C164A" w:rsidRPr="00CC30EB" w:rsidRDefault="009C164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C164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164A" w:rsidRPr="00FF4A98" w:rsidRDefault="009C164A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164A" w:rsidRDefault="009C164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C164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Toxikologická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má rád pivo, denně vypije několik skleniček</w:t>
            </w: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9C164A" w:rsidRDefault="009C164A" w:rsidP="00D67AB0">
      <w:pPr>
        <w:rPr>
          <w:rFonts w:ascii="Arial" w:hAnsi="Arial" w:cs="Arial"/>
          <w:sz w:val="24"/>
          <w:szCs w:val="24"/>
        </w:rPr>
      </w:pPr>
    </w:p>
    <w:p w:rsidR="009C164A" w:rsidRPr="00CC30EB" w:rsidRDefault="009C164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C164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164A" w:rsidRDefault="009C164A" w:rsidP="00D67AB0">
      <w:pPr>
        <w:rPr>
          <w:rFonts w:ascii="Arial" w:hAnsi="Arial" w:cs="Arial"/>
          <w:sz w:val="24"/>
          <w:szCs w:val="24"/>
        </w:rPr>
      </w:pPr>
    </w:p>
    <w:p w:rsidR="009C164A" w:rsidRPr="00CC30EB" w:rsidRDefault="009C164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C164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C164A" w:rsidRPr="00FF4A98" w:rsidRDefault="009C164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C164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C164A" w:rsidRPr="00CC30EB" w:rsidRDefault="009C164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C164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164A" w:rsidRDefault="009C164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C164A" w:rsidRPr="00CC30EB" w:rsidRDefault="009C164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C164A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0A0215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C164A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164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C164A" w:rsidRPr="00FF4A98" w:rsidRDefault="009C164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C164A" w:rsidRPr="00FF4A98" w:rsidRDefault="009C164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164A" w:rsidRPr="00FF4A98" w:rsidRDefault="009C164A" w:rsidP="00D67AB0">
      <w:pPr>
        <w:rPr>
          <w:rFonts w:ascii="Arial" w:hAnsi="Arial" w:cs="Arial"/>
          <w:sz w:val="24"/>
          <w:szCs w:val="24"/>
        </w:rPr>
      </w:pPr>
    </w:p>
    <w:p w:rsidR="009C164A" w:rsidRPr="00FF4A98" w:rsidRDefault="009C164A" w:rsidP="005D1F62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9C164A" w:rsidRPr="007A76AC" w:rsidRDefault="009C164A" w:rsidP="005D1F62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C164A" w:rsidRPr="00FF4A98" w:rsidRDefault="009C164A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9C164A" w:rsidRDefault="009C164A" w:rsidP="00287EE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 w:rsidR="00B022E4"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7D1D04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9C164A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diety č. 2 - šetřící?</w:t>
      </w:r>
    </w:p>
    <w:p w:rsidR="009C164A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Vypracujte edukační proces pro oblast správné životosprávy pacienta.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sestry,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k bezpečnému podání léku. 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9C164A" w:rsidRPr="007D1D04" w:rsidRDefault="009C164A" w:rsidP="00287EE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9C164A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D13" w:rsidRDefault="001D4D13" w:rsidP="00A5128C">
      <w:r>
        <w:separator/>
      </w:r>
    </w:p>
  </w:endnote>
  <w:endnote w:type="continuationSeparator" w:id="0">
    <w:p w:rsidR="001D4D13" w:rsidRDefault="001D4D1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D13" w:rsidRDefault="001D4D13" w:rsidP="00A5128C">
      <w:r>
        <w:separator/>
      </w:r>
    </w:p>
  </w:footnote>
  <w:footnote w:type="continuationSeparator" w:id="0">
    <w:p w:rsidR="001D4D13" w:rsidRDefault="001D4D1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64A" w:rsidRDefault="009C164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9C164A" w:rsidRPr="00A5128C" w:rsidRDefault="009C164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A80"/>
    <w:rsid w:val="00014A85"/>
    <w:rsid w:val="0002310D"/>
    <w:rsid w:val="00023FAD"/>
    <w:rsid w:val="000328C3"/>
    <w:rsid w:val="0009397F"/>
    <w:rsid w:val="000A0215"/>
    <w:rsid w:val="000B7EAD"/>
    <w:rsid w:val="000C0090"/>
    <w:rsid w:val="0014470C"/>
    <w:rsid w:val="001B7C42"/>
    <w:rsid w:val="001C50A5"/>
    <w:rsid w:val="001D4D13"/>
    <w:rsid w:val="002370F2"/>
    <w:rsid w:val="00262E90"/>
    <w:rsid w:val="00287EE6"/>
    <w:rsid w:val="0031655F"/>
    <w:rsid w:val="00341882"/>
    <w:rsid w:val="00343362"/>
    <w:rsid w:val="003508AE"/>
    <w:rsid w:val="00374A2D"/>
    <w:rsid w:val="00384220"/>
    <w:rsid w:val="00397E02"/>
    <w:rsid w:val="003C16A9"/>
    <w:rsid w:val="003E6487"/>
    <w:rsid w:val="0043475F"/>
    <w:rsid w:val="004B5477"/>
    <w:rsid w:val="004D1B23"/>
    <w:rsid w:val="00557B5D"/>
    <w:rsid w:val="00572FCD"/>
    <w:rsid w:val="005B743D"/>
    <w:rsid w:val="005C4A55"/>
    <w:rsid w:val="005D1F62"/>
    <w:rsid w:val="0064647B"/>
    <w:rsid w:val="00686E9F"/>
    <w:rsid w:val="006B0ABC"/>
    <w:rsid w:val="00703B95"/>
    <w:rsid w:val="0072116D"/>
    <w:rsid w:val="00734161"/>
    <w:rsid w:val="00763385"/>
    <w:rsid w:val="0077570A"/>
    <w:rsid w:val="00782BA0"/>
    <w:rsid w:val="00796E9E"/>
    <w:rsid w:val="007A76AC"/>
    <w:rsid w:val="007D1D04"/>
    <w:rsid w:val="0082668F"/>
    <w:rsid w:val="008608F2"/>
    <w:rsid w:val="008C6A59"/>
    <w:rsid w:val="008E5600"/>
    <w:rsid w:val="008E5A8B"/>
    <w:rsid w:val="00911A59"/>
    <w:rsid w:val="009C10F4"/>
    <w:rsid w:val="009C164A"/>
    <w:rsid w:val="00A5128C"/>
    <w:rsid w:val="00A93B51"/>
    <w:rsid w:val="00AB2287"/>
    <w:rsid w:val="00AC59FE"/>
    <w:rsid w:val="00B022E4"/>
    <w:rsid w:val="00B052AB"/>
    <w:rsid w:val="00BD4FBA"/>
    <w:rsid w:val="00CC30EB"/>
    <w:rsid w:val="00CD1414"/>
    <w:rsid w:val="00D01997"/>
    <w:rsid w:val="00D67AB0"/>
    <w:rsid w:val="00D70FD0"/>
    <w:rsid w:val="00DE110E"/>
    <w:rsid w:val="00E149CC"/>
    <w:rsid w:val="00EC46CD"/>
    <w:rsid w:val="00ED716C"/>
    <w:rsid w:val="00F00C96"/>
    <w:rsid w:val="00F60A8C"/>
    <w:rsid w:val="00F63B62"/>
    <w:rsid w:val="00F675D2"/>
    <w:rsid w:val="00F750D4"/>
    <w:rsid w:val="00F771D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5D1F6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6E44AA-D1C5-4EE8-8167-DA674700FB36}"/>
</file>

<file path=customXml/itemProps2.xml><?xml version="1.0" encoding="utf-8"?>
<ds:datastoreItem xmlns:ds="http://schemas.openxmlformats.org/officeDocument/2006/customXml" ds:itemID="{4C714206-7C91-4079-BA8E-6A87774C5FEB}"/>
</file>

<file path=customXml/itemProps3.xml><?xml version="1.0" encoding="utf-8"?>
<ds:datastoreItem xmlns:ds="http://schemas.openxmlformats.org/officeDocument/2006/customXml" ds:itemID="{EE879503-BDDA-48BE-9895-02DFEB15E7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(plastice) tříselné kýly</vt:lpstr>
    </vt:vector>
  </TitlesOfParts>
  <Company>HP</Company>
  <LinksUpToDate>false</LinksUpToDate>
  <CharactersWithSpaces>4086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(plastice) tříselné kýly</dc:title>
  <dc:creator>VSZDRAV</dc:creator>
  <cp:lastModifiedBy>Němcová Jitka</cp:lastModifiedBy>
  <cp:revision>2</cp:revision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