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BCC" w:rsidRDefault="006A4BCC" w:rsidP="00394C5F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 s paranoidní schizofrenií</w:t>
      </w:r>
    </w:p>
    <w:p w:rsidR="006A4BCC" w:rsidRPr="00394C5F" w:rsidRDefault="006A4BCC" w:rsidP="00394C5F"/>
    <w:p w:rsidR="006A4BCC" w:rsidRDefault="006A4BCC" w:rsidP="004B5477">
      <w:pPr>
        <w:jc w:val="both"/>
        <w:rPr>
          <w:rFonts w:ascii="Arial" w:hAnsi="Arial" w:cs="Arial"/>
          <w:sz w:val="24"/>
          <w:szCs w:val="24"/>
        </w:rPr>
      </w:pPr>
      <w:r w:rsidRPr="004B5477">
        <w:rPr>
          <w:rFonts w:ascii="Arial" w:hAnsi="Arial" w:cs="Arial"/>
          <w:sz w:val="24"/>
          <w:szCs w:val="24"/>
        </w:rPr>
        <w:t xml:space="preserve">Na </w:t>
      </w:r>
      <w:r>
        <w:rPr>
          <w:rFonts w:ascii="Arial" w:hAnsi="Arial" w:cs="Arial"/>
          <w:sz w:val="24"/>
          <w:szCs w:val="24"/>
        </w:rPr>
        <w:t>psychiatrickou ambulanci Psychiatrické nemocnice v Kroměříži byl akutně přijat muž X. Y. (36 let) s doprovodem Policie pro ublížení na zdraví sousedky. U pacienta se již jedná o opakovaný pobyt v Psychiatrické nemocnici, kde byl léčen pro paranoidní schizofrenii. Po léčbě byl propuštěn před 14 dny do domácího léčení.</w:t>
      </w:r>
    </w:p>
    <w:p w:rsidR="006A4BCC" w:rsidRDefault="006A4BCC" w:rsidP="004B54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Dnes v dopoledních hodinách tento pacient v psychotické dekompenzaci bodl kuchyňským nožem sousedku do levé paže, protože zaslechl - jak ho sousedka na chodbě domu pomlouvá. Manžel sousedky zavolal Policii a pro manželku RZP.</w:t>
      </w:r>
    </w:p>
    <w:p w:rsidR="006A4BCC" w:rsidRDefault="006A4BCC" w:rsidP="004B54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Pacient je silně psychotický, dysforický, paranoidní i v</w:t>
      </w:r>
      <w:r w:rsidR="002B1554">
        <w:rPr>
          <w:rFonts w:ascii="Arial" w:hAnsi="Arial" w:cs="Arial"/>
          <w:sz w:val="24"/>
          <w:szCs w:val="24"/>
        </w:rPr>
        <w:t>ůči personálu a po konzultaci s </w:t>
      </w:r>
      <w:r>
        <w:rPr>
          <w:rFonts w:ascii="Arial" w:hAnsi="Arial" w:cs="Arial"/>
          <w:sz w:val="24"/>
          <w:szCs w:val="24"/>
        </w:rPr>
        <w:t xml:space="preserve">neurologem, internistou a anesteziologem je u pacienta přistoupeno k ECT (tzv. elektrokonvulzivní terapie) z vitální indikace. </w:t>
      </w:r>
    </w:p>
    <w:p w:rsidR="006A4BCC" w:rsidRDefault="006A4BCC" w:rsidP="004B54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 ECT je pacient zklidněn, zlepšena spolupráce. Začal si uvědomovat, co vlastně udělal, bodl sousedku nožem proto, že slyšel, jak ho pomlouvá (že patří do blázince). Ví, že udělal špatnou věc a proto musí být potrestán. Své onemocnění stále popírá, má zájem o cigarety, je podrážděný, protože mu není ihned vyhověno. Jinak je vcelku usměrnitelný, nejsou u něho přítomny floridní (nástup symptomů schizofrenie) psychotické příznaky. Doma snad léky užíval, měl nad ním dohled jeho otec, žili spolu. Akutní neodkladnou hospitalizaci v psychiatrické nemocnici neodmítá. </w:t>
      </w:r>
    </w:p>
    <w:p w:rsidR="006A4BCC" w:rsidRDefault="006A4BCC" w:rsidP="004B54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Pacientovi na oddělení byly změřeny F/F TK 130/80 mmHg, P 90/min., D 19/min., TT 36,7 </w:t>
      </w:r>
      <w:r w:rsidRPr="004B5477">
        <w:rPr>
          <w:rFonts w:ascii="Arial" w:hAnsi="Arial" w:cs="Arial"/>
          <w:sz w:val="24"/>
          <w:szCs w:val="24"/>
        </w:rPr>
        <w:t>°C</w:t>
      </w:r>
      <w:r>
        <w:rPr>
          <w:rFonts w:ascii="Arial" w:hAnsi="Arial" w:cs="Arial"/>
          <w:sz w:val="24"/>
          <w:szCs w:val="24"/>
        </w:rPr>
        <w:t>, odebrány krevní odběry na hladinu alkoholu, valproátu, krevní obraz (KO), provedena z odběru moči drogová zkouška a naordinována medikamentózní léčebná terapie a klidový režim. Z provedených odběrů hladina valproátu byla nízká - (Depakine Chromo 500 drg. pobíral nepravidelně), KO v normě, drogová zkouška v moči negativní a krev na alkohol byl s výsledkem 0,21</w:t>
      </w:r>
      <w:r w:rsidR="002B155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‰. Přiznal, že požil 1 pivo, než se rozhodl spáchat trestný čin. Momentálně se cítí unavený, spavý a malátný.</w:t>
      </w:r>
    </w:p>
    <w:p w:rsidR="006A4BCC" w:rsidRDefault="006A4BCC" w:rsidP="004B5477">
      <w:pPr>
        <w:jc w:val="both"/>
        <w:rPr>
          <w:rFonts w:ascii="Arial" w:hAnsi="Arial" w:cs="Arial"/>
          <w:sz w:val="24"/>
          <w:szCs w:val="24"/>
        </w:rPr>
      </w:pPr>
    </w:p>
    <w:p w:rsidR="006A4BCC" w:rsidRPr="005B38FA" w:rsidRDefault="006A4BCC" w:rsidP="006F340E">
      <w:pPr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 xml:space="preserve">ANAMNÉZA </w:t>
      </w:r>
    </w:p>
    <w:p w:rsidR="006A4BCC" w:rsidRPr="003404DA" w:rsidRDefault="006A4BCC" w:rsidP="006F340E">
      <w:pPr>
        <w:jc w:val="both"/>
        <w:rPr>
          <w:rFonts w:ascii="Arial" w:hAnsi="Arial" w:cs="Arial"/>
          <w:b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 xml:space="preserve">Rodinná anamnéza: </w:t>
      </w:r>
    </w:p>
    <w:p w:rsidR="006A4BCC" w:rsidRPr="00D06958" w:rsidRDefault="006A4BCC" w:rsidP="006F340E">
      <w:pPr>
        <w:jc w:val="both"/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Matka: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zemřela ve 40 letech, intoxikace alkoholem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6A4BCC" w:rsidRPr="00D06958" w:rsidRDefault="006A4BCC" w:rsidP="006F340E">
      <w:pPr>
        <w:jc w:val="both"/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Otec: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66 let, léčí se na hypertenzi (vysoký krevní tlak)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6A4BCC" w:rsidRPr="00D06958" w:rsidRDefault="006A4BCC" w:rsidP="006F340E">
      <w:pPr>
        <w:jc w:val="both"/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Sourozenci: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sestra, 37 let, zdráva</w:t>
      </w:r>
    </w:p>
    <w:p w:rsidR="006A4BCC" w:rsidRDefault="006A4BCC" w:rsidP="006F340E">
      <w:pPr>
        <w:jc w:val="both"/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Děti: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0</w:t>
      </w:r>
    </w:p>
    <w:p w:rsidR="006A4BCC" w:rsidRDefault="006A4BCC" w:rsidP="006F340E">
      <w:pPr>
        <w:jc w:val="both"/>
        <w:rPr>
          <w:rFonts w:ascii="Arial" w:hAnsi="Arial" w:cs="Arial"/>
          <w:sz w:val="24"/>
          <w:szCs w:val="24"/>
        </w:rPr>
      </w:pPr>
    </w:p>
    <w:p w:rsidR="006A4BCC" w:rsidRPr="00EC4D86" w:rsidRDefault="006A4BCC" w:rsidP="006F340E">
      <w:pPr>
        <w:jc w:val="both"/>
        <w:rPr>
          <w:rFonts w:ascii="Arial" w:hAnsi="Arial" w:cs="Arial"/>
          <w:b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 xml:space="preserve">Osobní anamnéza: </w:t>
      </w:r>
    </w:p>
    <w:p w:rsidR="006A4BCC" w:rsidRDefault="006A4BCC" w:rsidP="006F340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Překonaná</w:t>
      </w:r>
      <w:r w:rsidRPr="00612C92">
        <w:rPr>
          <w:rFonts w:ascii="Arial" w:hAnsi="Arial" w:cs="Arial"/>
          <w:b/>
          <w:sz w:val="24"/>
          <w:szCs w:val="24"/>
        </w:rPr>
        <w:t xml:space="preserve"> onemocnění: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běžné dětské nemoci </w:t>
      </w:r>
    </w:p>
    <w:p w:rsidR="006A4BCC" w:rsidRDefault="006A4BCC" w:rsidP="006F340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Chronická</w:t>
      </w:r>
      <w:r w:rsidRPr="00612C92">
        <w:rPr>
          <w:rFonts w:ascii="Arial" w:hAnsi="Arial" w:cs="Arial"/>
          <w:b/>
          <w:sz w:val="24"/>
          <w:szCs w:val="24"/>
        </w:rPr>
        <w:t xml:space="preserve"> onemocnění: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 dětství občas deprese, více se potíže objevily po smrti matky</w:t>
      </w:r>
    </w:p>
    <w:p w:rsidR="006A4BCC" w:rsidRDefault="006A4BCC" w:rsidP="006F340E">
      <w:pPr>
        <w:jc w:val="both"/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Hospitalizace: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2x dětská psychiatrická léčebna pro stavy depresí ve věku 8 a 10 let, </w:t>
      </w:r>
    </w:p>
    <w:p w:rsidR="006A4BCC" w:rsidRPr="007922DB" w:rsidRDefault="006A4BCC" w:rsidP="006F340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</w:t>
      </w:r>
      <w:r w:rsidRPr="00612C92">
        <w:rPr>
          <w:rFonts w:ascii="Arial" w:hAnsi="Arial" w:cs="Arial"/>
          <w:b/>
          <w:sz w:val="24"/>
          <w:szCs w:val="24"/>
        </w:rPr>
        <w:t>perace</w:t>
      </w:r>
      <w:r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0</w:t>
      </w:r>
    </w:p>
    <w:p w:rsidR="006A4BCC" w:rsidRPr="00D06958" w:rsidRDefault="006A4BCC" w:rsidP="006F340E">
      <w:pPr>
        <w:jc w:val="both"/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Úrazy</w:t>
      </w:r>
      <w:r w:rsidRPr="00D06958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0</w:t>
      </w:r>
    </w:p>
    <w:p w:rsidR="006A4BCC" w:rsidRDefault="006A4BCC" w:rsidP="006F340E">
      <w:pPr>
        <w:jc w:val="both"/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Transfúze: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6A4BCC" w:rsidRDefault="006A4BCC" w:rsidP="006F340E">
      <w:pPr>
        <w:jc w:val="both"/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Očkování:</w:t>
      </w:r>
      <w:r w:rsidRPr="00D06958">
        <w:rPr>
          <w:rFonts w:ascii="Arial" w:hAnsi="Arial" w:cs="Arial"/>
          <w:sz w:val="24"/>
          <w:szCs w:val="24"/>
        </w:rPr>
        <w:t xml:space="preserve"> běžná dětská povinná očkování</w:t>
      </w:r>
      <w:r>
        <w:rPr>
          <w:rFonts w:ascii="Arial" w:hAnsi="Arial" w:cs="Arial"/>
          <w:sz w:val="24"/>
          <w:szCs w:val="24"/>
        </w:rPr>
        <w:t xml:space="preserve"> </w:t>
      </w:r>
    </w:p>
    <w:p w:rsidR="006A4BCC" w:rsidRDefault="006A4BCC" w:rsidP="006F340E">
      <w:pPr>
        <w:jc w:val="both"/>
        <w:rPr>
          <w:rFonts w:ascii="Arial" w:hAnsi="Arial" w:cs="Arial"/>
          <w:b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Léková anamnéza</w:t>
      </w:r>
      <w:r>
        <w:rPr>
          <w:rFonts w:ascii="Arial" w:hAnsi="Arial" w:cs="Arial"/>
          <w:b/>
          <w:sz w:val="24"/>
          <w:szCs w:val="24"/>
        </w:rPr>
        <w:t xml:space="preserve">: </w:t>
      </w:r>
    </w:p>
    <w:p w:rsidR="006A4BCC" w:rsidRDefault="006A4BCC" w:rsidP="006F340E">
      <w:pPr>
        <w:jc w:val="both"/>
        <w:rPr>
          <w:rFonts w:ascii="Arial" w:hAnsi="Arial" w:cs="Arial"/>
          <w:sz w:val="24"/>
          <w:szCs w:val="24"/>
        </w:rPr>
      </w:pPr>
      <w:r w:rsidRPr="007922DB">
        <w:rPr>
          <w:rFonts w:ascii="Arial" w:hAnsi="Arial" w:cs="Arial"/>
          <w:sz w:val="24"/>
          <w:szCs w:val="24"/>
        </w:rPr>
        <w:t>psychofarmaka</w:t>
      </w:r>
      <w:r>
        <w:rPr>
          <w:rFonts w:ascii="Arial" w:hAnsi="Arial" w:cs="Arial"/>
          <w:sz w:val="24"/>
          <w:szCs w:val="24"/>
        </w:rPr>
        <w:t>:  Depakine Chromo 500 mg drg. 1-0-1 (valproát)</w:t>
      </w:r>
    </w:p>
    <w:p w:rsidR="006A4BCC" w:rsidRDefault="006A4BCC" w:rsidP="006F340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Clozapine </w:t>
      </w:r>
      <w:r w:rsidRPr="00612C92">
        <w:rPr>
          <w:rFonts w:ascii="Arial" w:hAnsi="Arial" w:cs="Arial"/>
          <w:b/>
          <w:sz w:val="24"/>
          <w:szCs w:val="24"/>
        </w:rPr>
        <w:t xml:space="preserve"> </w:t>
      </w:r>
      <w:r w:rsidRPr="0097687F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</w:t>
      </w:r>
      <w:r w:rsidRPr="0097687F">
        <w:rPr>
          <w:rFonts w:ascii="Arial" w:hAnsi="Arial" w:cs="Arial"/>
          <w:sz w:val="24"/>
          <w:szCs w:val="24"/>
        </w:rPr>
        <w:t>mg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7687F">
        <w:rPr>
          <w:rFonts w:ascii="Arial" w:hAnsi="Arial" w:cs="Arial"/>
          <w:sz w:val="24"/>
          <w:szCs w:val="24"/>
        </w:rPr>
        <w:t>tb</w:t>
      </w:r>
      <w:r>
        <w:rPr>
          <w:rFonts w:ascii="Arial" w:hAnsi="Arial" w:cs="Arial"/>
          <w:sz w:val="24"/>
          <w:szCs w:val="24"/>
        </w:rPr>
        <w:t>l.</w:t>
      </w:r>
      <w:r w:rsidRPr="0097687F">
        <w:rPr>
          <w:rFonts w:ascii="Arial" w:hAnsi="Arial" w:cs="Arial"/>
          <w:sz w:val="24"/>
          <w:szCs w:val="24"/>
        </w:rPr>
        <w:t xml:space="preserve"> 1-0-2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318DD">
        <w:rPr>
          <w:rFonts w:ascii="Arial" w:hAnsi="Arial" w:cs="Arial"/>
          <w:sz w:val="24"/>
          <w:szCs w:val="24"/>
        </w:rPr>
        <w:t>(</w:t>
      </w:r>
      <w:r w:rsidRPr="0097687F">
        <w:rPr>
          <w:rFonts w:ascii="Arial" w:hAnsi="Arial" w:cs="Arial"/>
          <w:sz w:val="24"/>
          <w:szCs w:val="24"/>
        </w:rPr>
        <w:t>dibenzodiazepin, antipsychotikum</w:t>
      </w:r>
      <w:r>
        <w:rPr>
          <w:rFonts w:ascii="Arial" w:hAnsi="Arial" w:cs="Arial"/>
          <w:sz w:val="24"/>
          <w:szCs w:val="24"/>
        </w:rPr>
        <w:t>)</w:t>
      </w:r>
    </w:p>
    <w:p w:rsidR="006A4BCC" w:rsidRDefault="006A4BCC" w:rsidP="006F340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Tisercin 10 mg tbl. 1-1-1 (neuroleptikum)</w:t>
      </w:r>
    </w:p>
    <w:p w:rsidR="006A4BCC" w:rsidRDefault="002B1554" w:rsidP="006F340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Apaurin 1 amp.</w:t>
      </w:r>
      <w:r w:rsidR="006A4BCC">
        <w:rPr>
          <w:rFonts w:ascii="Arial" w:hAnsi="Arial" w:cs="Arial"/>
          <w:sz w:val="24"/>
          <w:szCs w:val="24"/>
        </w:rPr>
        <w:t xml:space="preserve">+Haloperidol inj. 1 amp. i. m. (sedativum) </w:t>
      </w:r>
    </w:p>
    <w:p w:rsidR="006A4BCC" w:rsidRDefault="006A4BCC" w:rsidP="0098367B">
      <w:pPr>
        <w:ind w:left="2124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při záchvatových projevech</w:t>
      </w:r>
    </w:p>
    <w:p w:rsidR="006A4BCC" w:rsidRPr="00A809EF" w:rsidRDefault="006A4BCC" w:rsidP="006F340E">
      <w:pPr>
        <w:jc w:val="both"/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lastRenderedPageBreak/>
        <w:t>Alergologická anamnéza</w:t>
      </w:r>
      <w:r>
        <w:rPr>
          <w:rFonts w:ascii="Arial" w:hAnsi="Arial" w:cs="Arial"/>
          <w:b/>
          <w:sz w:val="24"/>
          <w:szCs w:val="24"/>
        </w:rPr>
        <w:t>:</w:t>
      </w:r>
      <w:r w:rsidRPr="0057530D">
        <w:rPr>
          <w:rFonts w:ascii="Arial" w:hAnsi="Arial" w:cs="Arial"/>
          <w:b/>
          <w:sz w:val="24"/>
          <w:szCs w:val="24"/>
        </w:rPr>
        <w:t xml:space="preserve"> </w:t>
      </w:r>
    </w:p>
    <w:p w:rsidR="006A4BCC" w:rsidRPr="00D06958" w:rsidRDefault="006A4BCC" w:rsidP="006F340E">
      <w:pPr>
        <w:jc w:val="both"/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Léky: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6A4BCC" w:rsidRPr="00D06958" w:rsidRDefault="006A4BCC" w:rsidP="006F340E">
      <w:pPr>
        <w:jc w:val="both"/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Potraviny: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6A4BCC" w:rsidRPr="00D06958" w:rsidRDefault="006A4BCC" w:rsidP="006F340E">
      <w:pPr>
        <w:jc w:val="both"/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Chemické látky: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6A4BCC" w:rsidRPr="00D06958" w:rsidRDefault="006A4BCC" w:rsidP="006F340E">
      <w:pPr>
        <w:jc w:val="both"/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Jiné: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0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6A4BCC" w:rsidRDefault="006A4BCC" w:rsidP="006F340E">
      <w:pPr>
        <w:jc w:val="both"/>
        <w:rPr>
          <w:rFonts w:ascii="Arial" w:hAnsi="Arial" w:cs="Arial"/>
          <w:b/>
          <w:sz w:val="24"/>
          <w:szCs w:val="24"/>
        </w:rPr>
      </w:pPr>
    </w:p>
    <w:p w:rsidR="006A4BCC" w:rsidRDefault="006A4BCC" w:rsidP="006F340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Abusy: </w:t>
      </w:r>
    </w:p>
    <w:p w:rsidR="006A4BCC" w:rsidRDefault="006A4BCC" w:rsidP="006F340E">
      <w:pPr>
        <w:jc w:val="both"/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Alkohol: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ano, příležitostně pivo</w:t>
      </w:r>
    </w:p>
    <w:p w:rsidR="006A4BCC" w:rsidRPr="00D06958" w:rsidRDefault="006A4BCC" w:rsidP="006F340E">
      <w:pPr>
        <w:jc w:val="both"/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Kouření: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ano,</w:t>
      </w:r>
      <w:r w:rsidRPr="00D06958">
        <w:rPr>
          <w:rFonts w:ascii="Arial" w:hAnsi="Arial" w:cs="Arial"/>
          <w:sz w:val="24"/>
          <w:szCs w:val="24"/>
        </w:rPr>
        <w:t xml:space="preserve"> asi </w:t>
      </w:r>
      <w:r>
        <w:rPr>
          <w:rFonts w:ascii="Arial" w:hAnsi="Arial" w:cs="Arial"/>
          <w:sz w:val="24"/>
          <w:szCs w:val="24"/>
        </w:rPr>
        <w:t>20 cigaret/</w:t>
      </w:r>
      <w:r w:rsidRPr="00D06958">
        <w:rPr>
          <w:rFonts w:ascii="Arial" w:hAnsi="Arial" w:cs="Arial"/>
          <w:sz w:val="24"/>
          <w:szCs w:val="24"/>
        </w:rPr>
        <w:t xml:space="preserve">denně </w:t>
      </w:r>
    </w:p>
    <w:p w:rsidR="006A4BCC" w:rsidRDefault="006A4BCC" w:rsidP="006F340E">
      <w:pPr>
        <w:jc w:val="both"/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Káva:</w:t>
      </w:r>
      <w:r w:rsidRPr="00D06958">
        <w:rPr>
          <w:rFonts w:ascii="Arial" w:hAnsi="Arial" w:cs="Arial"/>
          <w:sz w:val="24"/>
          <w:szCs w:val="24"/>
        </w:rPr>
        <w:t xml:space="preserve"> 2x denně - černá</w:t>
      </w:r>
    </w:p>
    <w:p w:rsidR="006A4BCC" w:rsidRPr="007C6857" w:rsidRDefault="006A4BCC" w:rsidP="006F340E">
      <w:pPr>
        <w:jc w:val="both"/>
        <w:rPr>
          <w:rFonts w:ascii="Arial" w:hAnsi="Arial" w:cs="Arial"/>
          <w:b/>
          <w:sz w:val="24"/>
          <w:szCs w:val="24"/>
        </w:rPr>
      </w:pPr>
      <w:r w:rsidRPr="007C6857">
        <w:rPr>
          <w:rFonts w:ascii="Arial" w:hAnsi="Arial" w:cs="Arial"/>
          <w:b/>
          <w:sz w:val="24"/>
          <w:szCs w:val="24"/>
        </w:rPr>
        <w:t>Léky: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86351D">
        <w:rPr>
          <w:rFonts w:ascii="Arial" w:hAnsi="Arial" w:cs="Arial"/>
          <w:sz w:val="24"/>
          <w:szCs w:val="24"/>
        </w:rPr>
        <w:t>0</w:t>
      </w:r>
      <w:r w:rsidRPr="007C6857">
        <w:rPr>
          <w:rFonts w:ascii="Arial" w:hAnsi="Arial" w:cs="Arial"/>
          <w:b/>
          <w:sz w:val="24"/>
          <w:szCs w:val="24"/>
        </w:rPr>
        <w:t xml:space="preserve"> </w:t>
      </w:r>
    </w:p>
    <w:p w:rsidR="006A4BCC" w:rsidRPr="00D06958" w:rsidRDefault="006A4BCC" w:rsidP="006F340E">
      <w:pPr>
        <w:jc w:val="both"/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Jiné drogy: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občas marihuana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6A4BCC" w:rsidRDefault="006A4BCC" w:rsidP="006F340E">
      <w:pPr>
        <w:jc w:val="both"/>
        <w:rPr>
          <w:rFonts w:ascii="Arial" w:hAnsi="Arial" w:cs="Arial"/>
          <w:b/>
          <w:sz w:val="24"/>
          <w:szCs w:val="24"/>
        </w:rPr>
      </w:pPr>
    </w:p>
    <w:p w:rsidR="006A4BCC" w:rsidRPr="0057530D" w:rsidRDefault="006A4BCC" w:rsidP="006F340E">
      <w:pPr>
        <w:jc w:val="both"/>
        <w:rPr>
          <w:rFonts w:ascii="Arial" w:hAnsi="Arial" w:cs="Arial"/>
          <w:b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 xml:space="preserve">Sociální anamnéza: </w:t>
      </w:r>
    </w:p>
    <w:p w:rsidR="006A4BCC" w:rsidRPr="00D06958" w:rsidRDefault="006A4BCC" w:rsidP="006F340E">
      <w:pPr>
        <w:jc w:val="both"/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Stav: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svobodný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6A4BCC" w:rsidRDefault="006A4BCC" w:rsidP="006F340E">
      <w:pPr>
        <w:jc w:val="both"/>
        <w:rPr>
          <w:rFonts w:ascii="Arial" w:hAnsi="Arial" w:cs="Arial"/>
          <w:b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 xml:space="preserve">Bytové podmínky: </w:t>
      </w:r>
      <w:r w:rsidRPr="006445D3">
        <w:rPr>
          <w:rFonts w:ascii="Arial" w:hAnsi="Arial" w:cs="Arial"/>
          <w:sz w:val="24"/>
          <w:szCs w:val="24"/>
        </w:rPr>
        <w:t>2 pokojový byt ve městě</w:t>
      </w:r>
    </w:p>
    <w:p w:rsidR="006A4BCC" w:rsidRDefault="006A4BCC" w:rsidP="006F340E">
      <w:pPr>
        <w:jc w:val="both"/>
        <w:rPr>
          <w:rFonts w:ascii="Arial" w:hAnsi="Arial" w:cs="Arial"/>
          <w:b/>
          <w:sz w:val="24"/>
          <w:szCs w:val="24"/>
        </w:rPr>
      </w:pPr>
    </w:p>
    <w:p w:rsidR="006A4BCC" w:rsidRPr="00F629B6" w:rsidRDefault="006A4BCC" w:rsidP="006F340E">
      <w:pPr>
        <w:jc w:val="both"/>
        <w:rPr>
          <w:rFonts w:ascii="Arial" w:hAnsi="Arial" w:cs="Arial"/>
          <w:b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Pracovní anamnéza</w:t>
      </w:r>
      <w:r>
        <w:rPr>
          <w:rFonts w:ascii="Arial" w:hAnsi="Arial" w:cs="Arial"/>
          <w:b/>
          <w:sz w:val="24"/>
          <w:szCs w:val="24"/>
        </w:rPr>
        <w:t>:</w:t>
      </w:r>
      <w:r w:rsidRPr="00F629B6">
        <w:rPr>
          <w:rFonts w:ascii="Arial" w:hAnsi="Arial" w:cs="Arial"/>
          <w:b/>
          <w:sz w:val="24"/>
          <w:szCs w:val="24"/>
        </w:rPr>
        <w:t xml:space="preserve"> </w:t>
      </w:r>
    </w:p>
    <w:p w:rsidR="006A4BCC" w:rsidRPr="00D06958" w:rsidRDefault="006A4BCC" w:rsidP="006F340E">
      <w:pPr>
        <w:jc w:val="both"/>
        <w:rPr>
          <w:rFonts w:ascii="Arial" w:hAnsi="Arial" w:cs="Arial"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Vzdělání: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základní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6A4BCC" w:rsidRPr="00D06958" w:rsidRDefault="006A4BCC" w:rsidP="006F340E">
      <w:pPr>
        <w:jc w:val="both"/>
        <w:rPr>
          <w:rFonts w:ascii="Arial" w:hAnsi="Arial" w:cs="Arial"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Pracovní zařazení: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nepracující, invalidní důchodce od 18 let věku, střídavě pobyty v psychiatrické nemocnici a v domácím léčení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6A4BCC" w:rsidRDefault="006A4BCC" w:rsidP="006F340E">
      <w:pPr>
        <w:jc w:val="both"/>
        <w:rPr>
          <w:rFonts w:ascii="Arial" w:hAnsi="Arial" w:cs="Arial"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Ekonomické podmínky: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slabé, žije s otcem ve 2 pokojovém bytě</w:t>
      </w:r>
    </w:p>
    <w:p w:rsidR="006A4BCC" w:rsidRDefault="006A4BCC" w:rsidP="006F340E">
      <w:pPr>
        <w:jc w:val="both"/>
        <w:rPr>
          <w:rFonts w:ascii="Arial" w:hAnsi="Arial" w:cs="Arial"/>
          <w:b/>
          <w:sz w:val="24"/>
          <w:szCs w:val="24"/>
        </w:rPr>
      </w:pPr>
    </w:p>
    <w:p w:rsidR="006A4BCC" w:rsidRDefault="006A4BCC" w:rsidP="006F340E">
      <w:pPr>
        <w:jc w:val="both"/>
        <w:rPr>
          <w:rFonts w:ascii="Arial" w:hAnsi="Arial" w:cs="Arial"/>
          <w:b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Spirituální anamnéza</w:t>
      </w:r>
      <w:r>
        <w:rPr>
          <w:rFonts w:ascii="Arial" w:hAnsi="Arial" w:cs="Arial"/>
          <w:b/>
          <w:sz w:val="24"/>
          <w:szCs w:val="24"/>
        </w:rPr>
        <w:t>:</w:t>
      </w:r>
      <w:r w:rsidRPr="00F629B6">
        <w:rPr>
          <w:rFonts w:ascii="Arial" w:hAnsi="Arial" w:cs="Arial"/>
          <w:b/>
          <w:sz w:val="24"/>
          <w:szCs w:val="24"/>
        </w:rPr>
        <w:t xml:space="preserve"> </w:t>
      </w:r>
    </w:p>
    <w:p w:rsidR="006A4BCC" w:rsidRPr="00F629B6" w:rsidRDefault="006A4BCC" w:rsidP="006F340E">
      <w:pPr>
        <w:jc w:val="both"/>
        <w:rPr>
          <w:rFonts w:ascii="Arial" w:hAnsi="Arial" w:cs="Arial"/>
          <w:b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Religiózní praktiky:</w:t>
      </w:r>
      <w:r w:rsidRPr="00D06958">
        <w:rPr>
          <w:rFonts w:ascii="Arial" w:hAnsi="Arial" w:cs="Arial"/>
          <w:sz w:val="24"/>
          <w:szCs w:val="24"/>
        </w:rPr>
        <w:t xml:space="preserve"> ateista</w:t>
      </w:r>
    </w:p>
    <w:p w:rsidR="006A4BCC" w:rsidRDefault="006A4BCC" w:rsidP="006F340E">
      <w:pPr>
        <w:jc w:val="both"/>
        <w:rPr>
          <w:rFonts w:ascii="Arial" w:hAnsi="Arial" w:cs="Arial"/>
          <w:b/>
          <w:caps/>
          <w:color w:val="0000FF"/>
          <w:sz w:val="24"/>
          <w:szCs w:val="24"/>
        </w:rPr>
      </w:pPr>
    </w:p>
    <w:p w:rsidR="006A4BCC" w:rsidRPr="006370C0" w:rsidRDefault="006A4BCC" w:rsidP="006F340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370C0">
        <w:rPr>
          <w:rFonts w:ascii="Arial" w:hAnsi="Arial" w:cs="Arial"/>
          <w:b/>
          <w:caps/>
          <w:color w:val="0000FF"/>
          <w:sz w:val="24"/>
          <w:szCs w:val="24"/>
        </w:rPr>
        <w:t>HODNOTY ZJIŠŤOVANÉ PŘI PŘÍJMU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58"/>
        <w:gridCol w:w="4714"/>
      </w:tblGrid>
      <w:tr w:rsidR="006A4BCC" w:rsidRPr="006370C0">
        <w:tc>
          <w:tcPr>
            <w:tcW w:w="43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A4BCC" w:rsidRPr="006370C0" w:rsidRDefault="006A4BCC" w:rsidP="007D0ED4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TK: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>
              <w:rPr>
                <w:rFonts w:ascii="Arial" w:hAnsi="Arial" w:cs="Arial"/>
                <w:bCs/>
                <w:sz w:val="24"/>
                <w:szCs w:val="24"/>
              </w:rPr>
              <w:t>3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>0/</w:t>
            </w:r>
            <w:r>
              <w:rPr>
                <w:rFonts w:ascii="Arial" w:hAnsi="Arial" w:cs="Arial"/>
                <w:bCs/>
                <w:sz w:val="24"/>
                <w:szCs w:val="24"/>
              </w:rPr>
              <w:t>80 mmHg</w:t>
            </w:r>
          </w:p>
        </w:tc>
        <w:tc>
          <w:tcPr>
            <w:tcW w:w="4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4BCC" w:rsidRPr="006370C0" w:rsidRDefault="006A4BCC" w:rsidP="007D0ED4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Výška: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>17</w:t>
            </w:r>
            <w:r>
              <w:rPr>
                <w:rFonts w:ascii="Arial" w:hAnsi="Arial" w:cs="Arial"/>
                <w:bCs/>
                <w:sz w:val="24"/>
                <w:szCs w:val="24"/>
              </w:rPr>
              <w:t>8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 xml:space="preserve"> cm</w:t>
            </w:r>
          </w:p>
        </w:tc>
      </w:tr>
      <w:tr w:rsidR="006A4BCC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A4BCC" w:rsidRPr="006370C0" w:rsidRDefault="006A4BCC" w:rsidP="007D0ED4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D0ED4">
              <w:rPr>
                <w:rFonts w:ascii="Arial" w:hAnsi="Arial" w:cs="Arial"/>
                <w:bCs/>
                <w:sz w:val="24"/>
                <w:szCs w:val="24"/>
              </w:rPr>
              <w:t>9</w:t>
            </w:r>
            <w:r>
              <w:rPr>
                <w:rFonts w:ascii="Arial" w:hAnsi="Arial" w:cs="Arial"/>
                <w:bCs/>
                <w:sz w:val="24"/>
                <w:szCs w:val="24"/>
              </w:rPr>
              <w:t>0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>/min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4BCC" w:rsidRPr="006370C0" w:rsidRDefault="006A4BCC" w:rsidP="007D0ED4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Hmotnost: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D0ED4">
              <w:rPr>
                <w:rFonts w:ascii="Arial" w:hAnsi="Arial" w:cs="Arial"/>
                <w:bCs/>
                <w:sz w:val="24"/>
                <w:szCs w:val="24"/>
              </w:rPr>
              <w:t>71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 xml:space="preserve"> kg</w:t>
            </w:r>
          </w:p>
        </w:tc>
      </w:tr>
      <w:tr w:rsidR="006A4BCC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A4BCC" w:rsidRPr="006370C0" w:rsidRDefault="006A4BCC" w:rsidP="007D0ED4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D: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>
              <w:rPr>
                <w:rFonts w:ascii="Arial" w:hAnsi="Arial" w:cs="Arial"/>
                <w:bCs/>
                <w:sz w:val="24"/>
                <w:szCs w:val="24"/>
              </w:rPr>
              <w:t>9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>/min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4BCC" w:rsidRPr="006370C0" w:rsidRDefault="006A4BCC" w:rsidP="007D0ED4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BMI: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>2</w:t>
            </w:r>
            <w:r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</w:tr>
      <w:tr w:rsidR="006A4BCC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A4BCC" w:rsidRPr="006370C0" w:rsidRDefault="006A4BCC" w:rsidP="007D0ED4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>3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6,7 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>°C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4BCC" w:rsidRPr="006370C0" w:rsidRDefault="006A4BCC" w:rsidP="007D0ED4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Pohyblivost: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D0ED4">
              <w:rPr>
                <w:rFonts w:ascii="Arial" w:hAnsi="Arial" w:cs="Arial"/>
                <w:bCs/>
                <w:sz w:val="24"/>
                <w:szCs w:val="24"/>
              </w:rPr>
              <w:t xml:space="preserve">rychlá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a normální </w:t>
            </w:r>
            <w:r w:rsidRPr="007D0ED4">
              <w:rPr>
                <w:rFonts w:ascii="Arial" w:hAnsi="Arial" w:cs="Arial"/>
                <w:bCs/>
                <w:sz w:val="24"/>
                <w:szCs w:val="24"/>
              </w:rPr>
              <w:t>chůze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</w:tr>
      <w:tr w:rsidR="006A4BCC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6A4BCC" w:rsidRPr="006370C0" w:rsidRDefault="006A4BCC" w:rsidP="006F340E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Stav vědomí: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 xml:space="preserve">plné 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A4BCC" w:rsidRPr="006370C0" w:rsidRDefault="006A4BCC" w:rsidP="006F340E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Krevní skupina: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>0 Rh-</w:t>
            </w:r>
          </w:p>
        </w:tc>
      </w:tr>
    </w:tbl>
    <w:p w:rsidR="006A4BCC" w:rsidRDefault="006A4BCC" w:rsidP="006F340E">
      <w:pPr>
        <w:jc w:val="both"/>
        <w:rPr>
          <w:rFonts w:ascii="Arial" w:hAnsi="Arial" w:cs="Arial"/>
          <w:sz w:val="24"/>
          <w:szCs w:val="24"/>
        </w:rPr>
      </w:pPr>
    </w:p>
    <w:p w:rsidR="006A4BCC" w:rsidRDefault="006A4BCC" w:rsidP="006F340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Přítomný stav vyšetřený lékařem:</w:t>
      </w:r>
    </w:p>
    <w:p w:rsidR="006A4BCC" w:rsidRDefault="006A4BCC" w:rsidP="006F340E">
      <w:pPr>
        <w:jc w:val="both"/>
        <w:rPr>
          <w:rFonts w:ascii="Arial" w:hAnsi="Arial" w:cs="Arial"/>
          <w:sz w:val="24"/>
          <w:szCs w:val="24"/>
        </w:rPr>
      </w:pPr>
      <w:r w:rsidRPr="000D57E7">
        <w:rPr>
          <w:rFonts w:ascii="Arial" w:hAnsi="Arial" w:cs="Arial"/>
          <w:b/>
          <w:sz w:val="24"/>
          <w:szCs w:val="24"/>
        </w:rPr>
        <w:t xml:space="preserve">pacient </w:t>
      </w:r>
      <w:r>
        <w:rPr>
          <w:rFonts w:ascii="Arial" w:hAnsi="Arial" w:cs="Arial"/>
          <w:sz w:val="24"/>
          <w:szCs w:val="24"/>
        </w:rPr>
        <w:t xml:space="preserve">- afebrilní, orientován </w:t>
      </w:r>
    </w:p>
    <w:p w:rsidR="006A4BCC" w:rsidRDefault="006A4BCC" w:rsidP="006F340E">
      <w:pPr>
        <w:jc w:val="both"/>
        <w:rPr>
          <w:rFonts w:ascii="Arial" w:hAnsi="Arial" w:cs="Arial"/>
          <w:sz w:val="24"/>
          <w:szCs w:val="24"/>
        </w:rPr>
      </w:pPr>
      <w:r w:rsidRPr="000D57E7">
        <w:rPr>
          <w:rFonts w:ascii="Arial" w:hAnsi="Arial" w:cs="Arial"/>
          <w:b/>
          <w:sz w:val="24"/>
          <w:szCs w:val="24"/>
        </w:rPr>
        <w:t>turgor kůže</w:t>
      </w:r>
      <w:r>
        <w:rPr>
          <w:rFonts w:ascii="Arial" w:hAnsi="Arial" w:cs="Arial"/>
          <w:sz w:val="24"/>
          <w:szCs w:val="24"/>
        </w:rPr>
        <w:t xml:space="preserve"> - přiměřený, bez ikteru</w:t>
      </w:r>
    </w:p>
    <w:p w:rsidR="006A4BCC" w:rsidRDefault="006A4BCC" w:rsidP="006F340E">
      <w:pPr>
        <w:jc w:val="both"/>
        <w:rPr>
          <w:rFonts w:ascii="Arial" w:hAnsi="Arial" w:cs="Arial"/>
          <w:sz w:val="24"/>
          <w:szCs w:val="24"/>
        </w:rPr>
      </w:pPr>
      <w:r w:rsidRPr="000D57E7">
        <w:rPr>
          <w:rFonts w:ascii="Arial" w:hAnsi="Arial" w:cs="Arial"/>
          <w:b/>
          <w:sz w:val="24"/>
          <w:szCs w:val="24"/>
        </w:rPr>
        <w:t>hlava</w:t>
      </w:r>
      <w:r>
        <w:rPr>
          <w:rFonts w:ascii="Arial" w:hAnsi="Arial" w:cs="Arial"/>
          <w:sz w:val="24"/>
          <w:szCs w:val="24"/>
        </w:rPr>
        <w:t xml:space="preserve"> - bez patologického nálezu</w:t>
      </w:r>
    </w:p>
    <w:p w:rsidR="006A4BCC" w:rsidRDefault="006A4BCC" w:rsidP="006F340E">
      <w:pPr>
        <w:jc w:val="both"/>
        <w:rPr>
          <w:rFonts w:ascii="Arial" w:hAnsi="Arial" w:cs="Arial"/>
          <w:sz w:val="24"/>
          <w:szCs w:val="24"/>
        </w:rPr>
      </w:pPr>
      <w:r w:rsidRPr="000D57E7">
        <w:rPr>
          <w:rFonts w:ascii="Arial" w:hAnsi="Arial" w:cs="Arial"/>
          <w:b/>
          <w:sz w:val="24"/>
          <w:szCs w:val="24"/>
        </w:rPr>
        <w:t>krk</w:t>
      </w:r>
      <w:r>
        <w:rPr>
          <w:rFonts w:ascii="Arial" w:hAnsi="Arial" w:cs="Arial"/>
          <w:sz w:val="24"/>
          <w:szCs w:val="24"/>
        </w:rPr>
        <w:t xml:space="preserve"> - uzliny nezvětšeny</w:t>
      </w:r>
    </w:p>
    <w:p w:rsidR="006A4BCC" w:rsidRDefault="006A4BCC" w:rsidP="006F340E">
      <w:pPr>
        <w:jc w:val="both"/>
        <w:rPr>
          <w:rFonts w:ascii="Arial" w:hAnsi="Arial" w:cs="Arial"/>
          <w:b/>
          <w:sz w:val="24"/>
          <w:szCs w:val="24"/>
        </w:rPr>
      </w:pPr>
      <w:r w:rsidRPr="000D57E7">
        <w:rPr>
          <w:rFonts w:ascii="Arial" w:hAnsi="Arial" w:cs="Arial"/>
          <w:b/>
          <w:sz w:val="24"/>
          <w:szCs w:val="24"/>
        </w:rPr>
        <w:t>hrudník</w:t>
      </w:r>
      <w:r w:rsidRPr="007D0ED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 souměrný</w:t>
      </w:r>
    </w:p>
    <w:p w:rsidR="006A4BCC" w:rsidRDefault="006A4BCC" w:rsidP="006F340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srdce</w:t>
      </w:r>
      <w:r>
        <w:rPr>
          <w:rFonts w:ascii="Arial" w:hAnsi="Arial" w:cs="Arial"/>
          <w:sz w:val="24"/>
          <w:szCs w:val="24"/>
        </w:rPr>
        <w:t xml:space="preserve"> - EKG i poslechem srdeční akce pravidelná - sinusový rytmus</w:t>
      </w:r>
    </w:p>
    <w:p w:rsidR="006A4BCC" w:rsidRDefault="006A4BCC" w:rsidP="006F340E">
      <w:pPr>
        <w:jc w:val="both"/>
        <w:rPr>
          <w:rFonts w:ascii="Arial" w:hAnsi="Arial" w:cs="Arial"/>
          <w:sz w:val="24"/>
          <w:szCs w:val="24"/>
        </w:rPr>
      </w:pPr>
      <w:r w:rsidRPr="000D57E7">
        <w:rPr>
          <w:rFonts w:ascii="Arial" w:hAnsi="Arial" w:cs="Arial"/>
          <w:b/>
          <w:sz w:val="24"/>
          <w:szCs w:val="24"/>
        </w:rPr>
        <w:t>plíce</w:t>
      </w:r>
      <w:r>
        <w:rPr>
          <w:rFonts w:ascii="Arial" w:hAnsi="Arial" w:cs="Arial"/>
          <w:sz w:val="24"/>
          <w:szCs w:val="24"/>
        </w:rPr>
        <w:t xml:space="preserve"> - poklep plný, bez dušnosti</w:t>
      </w:r>
    </w:p>
    <w:p w:rsidR="006A4BCC" w:rsidRDefault="006A4BCC" w:rsidP="006F340E">
      <w:pPr>
        <w:jc w:val="both"/>
        <w:rPr>
          <w:rFonts w:ascii="Arial" w:hAnsi="Arial" w:cs="Arial"/>
          <w:sz w:val="24"/>
          <w:szCs w:val="24"/>
        </w:rPr>
      </w:pPr>
      <w:r w:rsidRPr="000D57E7">
        <w:rPr>
          <w:rFonts w:ascii="Arial" w:hAnsi="Arial" w:cs="Arial"/>
          <w:b/>
          <w:sz w:val="24"/>
          <w:szCs w:val="24"/>
        </w:rPr>
        <w:t>břicho</w:t>
      </w:r>
      <w:r>
        <w:rPr>
          <w:rFonts w:ascii="Arial" w:hAnsi="Arial" w:cs="Arial"/>
          <w:sz w:val="24"/>
          <w:szCs w:val="24"/>
        </w:rPr>
        <w:t xml:space="preserve"> - klidné</w:t>
      </w:r>
    </w:p>
    <w:p w:rsidR="006A4BCC" w:rsidRDefault="006A4BCC" w:rsidP="006F340E">
      <w:pPr>
        <w:jc w:val="both"/>
        <w:rPr>
          <w:rFonts w:ascii="Arial" w:hAnsi="Arial" w:cs="Arial"/>
          <w:sz w:val="24"/>
          <w:szCs w:val="24"/>
        </w:rPr>
      </w:pPr>
      <w:r w:rsidRPr="000D57E7">
        <w:rPr>
          <w:rFonts w:ascii="Arial" w:hAnsi="Arial" w:cs="Arial"/>
          <w:b/>
          <w:sz w:val="24"/>
          <w:szCs w:val="24"/>
        </w:rPr>
        <w:t>páteř</w:t>
      </w:r>
      <w:r>
        <w:rPr>
          <w:rFonts w:ascii="Arial" w:hAnsi="Arial" w:cs="Arial"/>
          <w:sz w:val="24"/>
          <w:szCs w:val="24"/>
        </w:rPr>
        <w:t xml:space="preserve"> - v normě</w:t>
      </w:r>
    </w:p>
    <w:p w:rsidR="006A4BCC" w:rsidRDefault="006A4BCC" w:rsidP="006F340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HK+</w:t>
      </w:r>
      <w:r w:rsidRPr="000D57E7">
        <w:rPr>
          <w:rFonts w:ascii="Arial" w:hAnsi="Arial" w:cs="Arial"/>
          <w:b/>
          <w:sz w:val="24"/>
          <w:szCs w:val="24"/>
        </w:rPr>
        <w:t>DK</w:t>
      </w:r>
      <w:r>
        <w:rPr>
          <w:rFonts w:ascii="Arial" w:hAnsi="Arial" w:cs="Arial"/>
          <w:sz w:val="24"/>
          <w:szCs w:val="24"/>
        </w:rPr>
        <w:t xml:space="preserve"> - bez otoků, bez varixů</w:t>
      </w:r>
    </w:p>
    <w:p w:rsidR="006A4BCC" w:rsidRDefault="006A4BCC" w:rsidP="00A809EF">
      <w:pPr>
        <w:jc w:val="both"/>
        <w:rPr>
          <w:rFonts w:ascii="Arial" w:hAnsi="Arial" w:cs="Arial"/>
          <w:b/>
          <w:sz w:val="24"/>
          <w:szCs w:val="24"/>
        </w:rPr>
      </w:pPr>
    </w:p>
    <w:p w:rsidR="006A4BCC" w:rsidRDefault="006A4BCC" w:rsidP="00A809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Akutní</w:t>
      </w:r>
      <w:r w:rsidRPr="000D57E7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neodkladná </w:t>
      </w:r>
      <w:r w:rsidRPr="000D57E7">
        <w:rPr>
          <w:rFonts w:ascii="Arial" w:hAnsi="Arial" w:cs="Arial"/>
          <w:b/>
          <w:sz w:val="24"/>
          <w:szCs w:val="24"/>
        </w:rPr>
        <w:t>hospitalizace</w:t>
      </w:r>
      <w:r>
        <w:rPr>
          <w:rFonts w:ascii="Arial" w:hAnsi="Arial" w:cs="Arial"/>
          <w:sz w:val="24"/>
          <w:szCs w:val="24"/>
        </w:rPr>
        <w:t>: podána</w:t>
      </w:r>
      <w:r w:rsidRPr="0051220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psychofarmaka - Depakine Chromo 500 mg 1 drg., Clozapine</w:t>
      </w:r>
      <w:r w:rsidRPr="00612C92">
        <w:rPr>
          <w:rFonts w:ascii="Arial" w:hAnsi="Arial" w:cs="Arial"/>
          <w:b/>
          <w:sz w:val="24"/>
          <w:szCs w:val="24"/>
        </w:rPr>
        <w:t xml:space="preserve"> </w:t>
      </w:r>
      <w:r w:rsidRPr="0097687F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</w:t>
      </w:r>
      <w:r w:rsidRPr="0097687F">
        <w:rPr>
          <w:rFonts w:ascii="Arial" w:hAnsi="Arial" w:cs="Arial"/>
          <w:sz w:val="24"/>
          <w:szCs w:val="24"/>
        </w:rPr>
        <w:t>mg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809EF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7687F">
        <w:rPr>
          <w:rFonts w:ascii="Arial" w:hAnsi="Arial" w:cs="Arial"/>
          <w:sz w:val="24"/>
          <w:szCs w:val="24"/>
        </w:rPr>
        <w:t>tb</w:t>
      </w:r>
      <w:r>
        <w:rPr>
          <w:rFonts w:ascii="Arial" w:hAnsi="Arial" w:cs="Arial"/>
          <w:sz w:val="24"/>
          <w:szCs w:val="24"/>
        </w:rPr>
        <w:t xml:space="preserve">l., Tisercin 10 mg 1 tbl. a aplikována injekce Apaurin 1 amp.+Haloperidol. 1 amp. i. m., aby se zabránilo dalšímu rozvíjejícímu se psychickému záchvatu. </w:t>
      </w:r>
    </w:p>
    <w:p w:rsidR="006A4BCC" w:rsidRDefault="006A4BCC" w:rsidP="00A809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Dále kontrolní neurologické vyšetření, EEG (elektroencefalogram) a pokračování v léčebné metodě ECT v 10 sériích během 3 týdnů. </w:t>
      </w:r>
    </w:p>
    <w:p w:rsidR="006A4BCC" w:rsidRDefault="006A4BCC" w:rsidP="006F340E">
      <w:pPr>
        <w:jc w:val="both"/>
        <w:rPr>
          <w:rFonts w:ascii="Arial" w:hAnsi="Arial" w:cs="Arial"/>
          <w:sz w:val="24"/>
          <w:szCs w:val="24"/>
        </w:rPr>
      </w:pPr>
    </w:p>
    <w:p w:rsidR="006A4BCC" w:rsidRDefault="006A4BCC" w:rsidP="006F340E">
      <w:pPr>
        <w:jc w:val="both"/>
        <w:rPr>
          <w:rFonts w:ascii="Arial" w:hAnsi="Arial" w:cs="Arial"/>
          <w:sz w:val="24"/>
          <w:szCs w:val="24"/>
        </w:rPr>
      </w:pPr>
      <w:r w:rsidRPr="006A2814">
        <w:rPr>
          <w:rFonts w:ascii="Arial" w:hAnsi="Arial" w:cs="Arial"/>
          <w:b/>
          <w:sz w:val="24"/>
          <w:szCs w:val="24"/>
        </w:rPr>
        <w:t>Lékařská dg.: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809EF">
        <w:rPr>
          <w:rFonts w:ascii="Arial" w:hAnsi="Arial" w:cs="Arial"/>
          <w:sz w:val="24"/>
          <w:szCs w:val="24"/>
        </w:rPr>
        <w:t>paranoidní schizofrenie</w:t>
      </w:r>
    </w:p>
    <w:p w:rsidR="006A4BCC" w:rsidRDefault="006A4BCC" w:rsidP="006F340E">
      <w:pPr>
        <w:jc w:val="both"/>
        <w:rPr>
          <w:rFonts w:ascii="Arial" w:hAnsi="Arial" w:cs="Arial"/>
          <w:sz w:val="24"/>
          <w:szCs w:val="24"/>
        </w:rPr>
      </w:pPr>
    </w:p>
    <w:p w:rsidR="006A4BCC" w:rsidRDefault="006A4BCC" w:rsidP="006F340E">
      <w:pPr>
        <w:jc w:val="both"/>
        <w:rPr>
          <w:rFonts w:ascii="Arial" w:hAnsi="Arial" w:cs="Arial"/>
          <w:b/>
          <w:sz w:val="24"/>
          <w:szCs w:val="24"/>
        </w:rPr>
      </w:pPr>
      <w:r w:rsidRPr="00FF1A3A">
        <w:rPr>
          <w:rFonts w:ascii="Arial" w:hAnsi="Arial" w:cs="Arial"/>
          <w:b/>
          <w:sz w:val="24"/>
          <w:szCs w:val="24"/>
        </w:rPr>
        <w:t>Vysvětlení pojmu ECT</w:t>
      </w:r>
    </w:p>
    <w:p w:rsidR="006A4BCC" w:rsidRDefault="006A4BCC" w:rsidP="006F340E">
      <w:pPr>
        <w:jc w:val="both"/>
        <w:rPr>
          <w:rFonts w:ascii="Arial" w:hAnsi="Arial" w:cs="Arial"/>
          <w:sz w:val="24"/>
          <w:szCs w:val="24"/>
        </w:rPr>
      </w:pPr>
    </w:p>
    <w:p w:rsidR="006A4BCC" w:rsidRDefault="006A4BCC" w:rsidP="00A52136">
      <w:pPr>
        <w:jc w:val="both"/>
        <w:rPr>
          <w:rFonts w:ascii="Arial" w:hAnsi="Arial" w:cs="Arial"/>
          <w:sz w:val="24"/>
          <w:szCs w:val="24"/>
        </w:rPr>
      </w:pPr>
      <w:r w:rsidRPr="00A52136">
        <w:rPr>
          <w:rFonts w:ascii="Arial" w:hAnsi="Arial" w:cs="Arial"/>
          <w:b/>
          <w:sz w:val="24"/>
          <w:szCs w:val="24"/>
        </w:rPr>
        <w:t>Elektrokonvulzivní terapie</w:t>
      </w:r>
      <w:r>
        <w:rPr>
          <w:rFonts w:ascii="Arial" w:hAnsi="Arial" w:cs="Arial"/>
          <w:sz w:val="24"/>
          <w:szCs w:val="24"/>
        </w:rPr>
        <w:t xml:space="preserve"> se provádí v krátkodobé celkové anestézii a myorelaxaci, tedy ve stavu obdobném, v jakém se provádějí operační výkony. Na jejím provedení se podílí nejen psychiatr, ale i zkušený anesteziolog. Moderní přístroje aplikují elektrický proud ve velmi krátkých impulsech z elektrod přiložených nejčastěji na spánku pacienta. </w:t>
      </w:r>
      <w:r w:rsidRPr="0064204B">
        <w:rPr>
          <w:rFonts w:ascii="Arial" w:hAnsi="Arial" w:cs="Arial"/>
          <w:sz w:val="24"/>
          <w:szCs w:val="24"/>
        </w:rPr>
        <w:t>Při provádění elektrokovulze lze na nich sledovat EKG i EEG, tedy elektrickou aktivitu srdce i mozku. Pro svou vysokou účinnost se ECT užívá téměř výlučně k léčbě závažných duševních poruch, zejména tam kde je nutný rychlý léčebný zásah nebo kde byly ostatní způsoby léčby neúčinné. Tato léčebná metoda je založena na opakované elektrické stimulaci mozku, prot</w:t>
      </w:r>
      <w:r>
        <w:rPr>
          <w:rFonts w:ascii="Arial" w:hAnsi="Arial" w:cs="Arial"/>
          <w:sz w:val="24"/>
          <w:szCs w:val="24"/>
        </w:rPr>
        <w:t>o se nejčastěji užívá v sérií 6-</w:t>
      </w:r>
      <w:r w:rsidRPr="0064204B">
        <w:rPr>
          <w:rFonts w:ascii="Arial" w:hAnsi="Arial" w:cs="Arial"/>
          <w:sz w:val="24"/>
          <w:szCs w:val="24"/>
        </w:rPr>
        <w:t>12 elektrokonvulzí během 3-4 týdnů, méně často je nutné k dosažení potřebného účinku použít delší sérii nebo sérii opakovat. Vlastní el</w:t>
      </w:r>
      <w:r>
        <w:rPr>
          <w:rFonts w:ascii="Arial" w:hAnsi="Arial" w:cs="Arial"/>
          <w:sz w:val="24"/>
          <w:szCs w:val="24"/>
        </w:rPr>
        <w:t>ektrická stimulace mozku trvá 1-</w:t>
      </w:r>
      <w:r w:rsidRPr="0064204B">
        <w:rPr>
          <w:rFonts w:ascii="Arial" w:hAnsi="Arial" w:cs="Arial"/>
          <w:sz w:val="24"/>
          <w:szCs w:val="24"/>
        </w:rPr>
        <w:t>2 sekundy. Mozek na tuto stimulaci reaguje 20-40 sekund trvajícími změnami elektrické aktivity na membránách mozkových buněk, čímž se obnovují normální fyziologické poměry mozkové činnosti. Celková doba výkonu nepřesahuje 10</w:t>
      </w:r>
      <w:r>
        <w:rPr>
          <w:rFonts w:ascii="Arial" w:hAnsi="Arial" w:cs="Arial"/>
          <w:sz w:val="24"/>
          <w:szCs w:val="24"/>
        </w:rPr>
        <w:t xml:space="preserve"> minut.</w:t>
      </w:r>
    </w:p>
    <w:p w:rsidR="006A4BCC" w:rsidRDefault="006A4BCC" w:rsidP="00A52136">
      <w:pPr>
        <w:jc w:val="both"/>
      </w:pPr>
      <w:r w:rsidRPr="00A52136">
        <w:rPr>
          <w:rFonts w:ascii="Arial" w:hAnsi="Arial" w:cs="Arial"/>
          <w:b/>
          <w:sz w:val="24"/>
          <w:szCs w:val="24"/>
        </w:rPr>
        <w:t>Jako každá léčba i ECT má nežádoucí vedlejší účinky</w:t>
      </w:r>
      <w:r w:rsidRPr="0064204B">
        <w:rPr>
          <w:rFonts w:ascii="Arial" w:hAnsi="Arial" w:cs="Arial"/>
          <w:sz w:val="24"/>
          <w:szCs w:val="24"/>
        </w:rPr>
        <w:t>, které jsou však mírné a</w:t>
      </w:r>
      <w:r>
        <w:rPr>
          <w:rFonts w:ascii="Arial" w:hAnsi="Arial" w:cs="Arial"/>
          <w:sz w:val="24"/>
          <w:szCs w:val="24"/>
        </w:rPr>
        <w:t> </w:t>
      </w:r>
      <w:r w:rsidRPr="0064204B">
        <w:rPr>
          <w:rFonts w:ascii="Arial" w:hAnsi="Arial" w:cs="Arial"/>
          <w:sz w:val="24"/>
          <w:szCs w:val="24"/>
        </w:rPr>
        <w:t>vyskytují vzácně a přechodně. Občas se mohou vyskytnout bolesti hlavy, přechodné poruchy krátkodobé paměti nebo orientace. Může se vyskytnout pocit ztíženého dýchání při probouzení z anestezie a nelze vyloučit alergickou reakci na podané léky jako u každé jiné anestézie (např. při operaci). Velmi vzácné jsou komplikace týkající se srdeční činnosti, dýchání a komplikace neurologické, stejně jako drobná poranění v oblasti ústní dutiny. Ve srovnání s léčbou vyššími dávkami psychofarmak je než</w:t>
      </w:r>
      <w:r>
        <w:rPr>
          <w:rFonts w:ascii="Arial" w:hAnsi="Arial" w:cs="Arial"/>
          <w:sz w:val="24"/>
          <w:szCs w:val="24"/>
        </w:rPr>
        <w:t>ádoucích účinků při ECT minimum</w:t>
      </w:r>
      <w:r>
        <w:t>.</w:t>
      </w:r>
    </w:p>
    <w:p w:rsidR="006A4BCC" w:rsidRDefault="006A4BCC" w:rsidP="00A52136">
      <w:pPr>
        <w:jc w:val="both"/>
        <w:rPr>
          <w:rFonts w:ascii="Arial" w:hAnsi="Arial" w:cs="Arial"/>
          <w:sz w:val="24"/>
          <w:szCs w:val="24"/>
        </w:rPr>
      </w:pPr>
      <w:r w:rsidRPr="00A52136">
        <w:rPr>
          <w:rFonts w:ascii="Arial" w:hAnsi="Arial" w:cs="Arial"/>
          <w:b/>
          <w:sz w:val="24"/>
          <w:szCs w:val="24"/>
        </w:rPr>
        <w:t xml:space="preserve">ECT se zejména používá </w:t>
      </w:r>
      <w:r w:rsidRPr="00A52136">
        <w:rPr>
          <w:rFonts w:ascii="Arial" w:hAnsi="Arial" w:cs="Arial"/>
          <w:sz w:val="24"/>
          <w:szCs w:val="24"/>
        </w:rPr>
        <w:t>u těžké deprese (melancholie) zejména s bludy (tj. poruchami myšlení), halucinacemi (tj. poruchami vnímání), odmítáním potravy nebo sebevražedným jednáním, mánie a u dalších</w:t>
      </w:r>
      <w:r>
        <w:rPr>
          <w:rFonts w:ascii="Arial" w:hAnsi="Arial" w:cs="Arial"/>
          <w:sz w:val="24"/>
          <w:szCs w:val="24"/>
        </w:rPr>
        <w:t>, a u schizoafektivních</w:t>
      </w:r>
      <w:r w:rsidRPr="00A52136">
        <w:rPr>
          <w:rFonts w:ascii="Arial" w:hAnsi="Arial" w:cs="Arial"/>
          <w:sz w:val="24"/>
          <w:szCs w:val="24"/>
        </w:rPr>
        <w:t xml:space="preserve"> psychóz </w:t>
      </w:r>
      <w:r>
        <w:rPr>
          <w:rFonts w:ascii="Arial" w:hAnsi="Arial" w:cs="Arial"/>
          <w:sz w:val="24"/>
          <w:szCs w:val="24"/>
        </w:rPr>
        <w:t>s</w:t>
      </w:r>
      <w:r w:rsidRPr="00A52136">
        <w:rPr>
          <w:rFonts w:ascii="Arial" w:hAnsi="Arial" w:cs="Arial"/>
          <w:sz w:val="24"/>
          <w:szCs w:val="24"/>
        </w:rPr>
        <w:t>chizofrenie</w:t>
      </w:r>
      <w:r>
        <w:rPr>
          <w:rFonts w:ascii="Arial" w:hAnsi="Arial" w:cs="Arial"/>
          <w:sz w:val="24"/>
          <w:szCs w:val="24"/>
        </w:rPr>
        <w:t>.</w:t>
      </w:r>
    </w:p>
    <w:p w:rsidR="006A4BCC" w:rsidRPr="005F16D5" w:rsidRDefault="006A4BCC" w:rsidP="005F16D5">
      <w:pPr>
        <w:jc w:val="both"/>
        <w:rPr>
          <w:rFonts w:ascii="Arial" w:hAnsi="Arial" w:cs="Arial"/>
          <w:sz w:val="24"/>
          <w:szCs w:val="24"/>
        </w:rPr>
      </w:pPr>
      <w:r w:rsidRPr="00A52136">
        <w:rPr>
          <w:rFonts w:ascii="Arial" w:hAnsi="Arial" w:cs="Arial"/>
          <w:b/>
          <w:sz w:val="24"/>
          <w:szCs w:val="24"/>
        </w:rPr>
        <w:t>ECT se nesmí použít</w:t>
      </w:r>
      <w:r w:rsidRPr="00A52136">
        <w:rPr>
          <w:rFonts w:ascii="Arial" w:hAnsi="Arial" w:cs="Arial"/>
          <w:sz w:val="24"/>
          <w:szCs w:val="24"/>
        </w:rPr>
        <w:t xml:space="preserve"> u pacientů se zvýšeným nitrolebním tlakem, mozkovým nádorem, výdutí mozkových cév (aneurysmat) a po mozkovém krvácení. Zvýšené opatrnosti je třeba po centrální mozkové p</w:t>
      </w:r>
      <w:r>
        <w:rPr>
          <w:rFonts w:ascii="Arial" w:hAnsi="Arial" w:cs="Arial"/>
          <w:sz w:val="24"/>
          <w:szCs w:val="24"/>
        </w:rPr>
        <w:t>říhodě nebo infarktu myokardu v </w:t>
      </w:r>
      <w:r w:rsidRPr="00A52136">
        <w:rPr>
          <w:rFonts w:ascii="Arial" w:hAnsi="Arial" w:cs="Arial"/>
          <w:sz w:val="24"/>
          <w:szCs w:val="24"/>
        </w:rPr>
        <w:t>posledních 3 měsících, u těžké ischemické choroby srdeční, selhávání srdce, výdutě aorty nebo jiných velkých cév, těžkých plicních chorob, těžké osteoporosy, některých závažných neurologických chorob, glaukomu (zeleném zákalu) a po úrazu mozku v posledních 6 měsících. Při celkové akutní infekci je vho</w:t>
      </w:r>
      <w:r>
        <w:rPr>
          <w:rFonts w:ascii="Arial" w:hAnsi="Arial" w:cs="Arial"/>
          <w:sz w:val="24"/>
          <w:szCs w:val="24"/>
        </w:rPr>
        <w:t xml:space="preserve">dné s ECT počkat na její zaléčení. </w:t>
      </w:r>
    </w:p>
    <w:p w:rsidR="006A4BCC" w:rsidRDefault="006A4BCC" w:rsidP="00FF1A3A"/>
    <w:p w:rsidR="006A4BCC" w:rsidRDefault="006A4BCC" w:rsidP="00593FD1">
      <w:pPr>
        <w:pStyle w:val="Nadpis1"/>
        <w:spacing w:line="276" w:lineRule="auto"/>
        <w:ind w:left="142"/>
        <w:jc w:val="center"/>
        <w:rPr>
          <w:rFonts w:cs="Arial"/>
          <w:color w:val="0000FF"/>
          <w:sz w:val="28"/>
          <w:szCs w:val="28"/>
        </w:rPr>
      </w:pPr>
      <w:r>
        <w:rPr>
          <w:rFonts w:cs="Arial"/>
          <w:color w:val="0000FF"/>
          <w:sz w:val="28"/>
          <w:szCs w:val="28"/>
        </w:rPr>
        <w:t>Ošetřovatelský proces u pacienta s paranoidní schizofrenií</w:t>
      </w:r>
    </w:p>
    <w:p w:rsidR="006A4BCC" w:rsidRPr="00D10C71" w:rsidRDefault="006A4BCC" w:rsidP="00D10C71"/>
    <w:p w:rsidR="006A4BCC" w:rsidRDefault="006A4BCC" w:rsidP="00593FD1">
      <w:pPr>
        <w:pStyle w:val="Nadpis1"/>
        <w:spacing w:line="276" w:lineRule="auto"/>
        <w:ind w:left="142"/>
        <w:jc w:val="both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6A4BCC" w:rsidRPr="00CC30EB" w:rsidRDefault="006A4BCC" w:rsidP="00593FD1">
      <w:pPr>
        <w:pStyle w:val="Nadpis1"/>
        <w:spacing w:line="276" w:lineRule="auto"/>
        <w:ind w:left="142"/>
        <w:jc w:val="both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6A4BCC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lastRenderedPageBreak/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A4BCC" w:rsidRPr="00FF4A98" w:rsidRDefault="006A4BCC" w:rsidP="00FF1A3A">
      <w:pPr>
        <w:pStyle w:val="Nadpis1"/>
        <w:jc w:val="both"/>
        <w:rPr>
          <w:rFonts w:cs="Arial"/>
          <w:b w:val="0"/>
          <w:szCs w:val="24"/>
        </w:rPr>
      </w:pPr>
    </w:p>
    <w:p w:rsidR="006A4BCC" w:rsidRPr="00CC30EB" w:rsidRDefault="006A4BCC" w:rsidP="00FF1A3A">
      <w:pPr>
        <w:pStyle w:val="Nadpis1"/>
        <w:ind w:left="142"/>
        <w:jc w:val="both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6A4BCC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4BCC" w:rsidRPr="00FF4A98" w:rsidRDefault="006A4BCC" w:rsidP="00855708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A4BCC" w:rsidRDefault="006A4BCC" w:rsidP="00FF1A3A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6A4BCC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4BCC" w:rsidRDefault="006A4BCC" w:rsidP="0085570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4BCC" w:rsidRDefault="006A4BCC" w:rsidP="0085570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4BCC" w:rsidRDefault="006A4BCC" w:rsidP="0085570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4BCC" w:rsidRDefault="006A4BCC" w:rsidP="0085570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4BCC" w:rsidRDefault="006A4BCC" w:rsidP="0085570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A4BCC" w:rsidRDefault="006A4BCC" w:rsidP="00FF1A3A">
      <w:pPr>
        <w:jc w:val="both"/>
        <w:rPr>
          <w:rFonts w:ascii="Arial" w:hAnsi="Arial" w:cs="Arial"/>
          <w:sz w:val="24"/>
          <w:szCs w:val="24"/>
        </w:rPr>
      </w:pPr>
    </w:p>
    <w:p w:rsidR="006A4BCC" w:rsidRPr="00CC30EB" w:rsidRDefault="006A4BCC" w:rsidP="00FF1A3A">
      <w:pPr>
        <w:ind w:left="142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6A4BCC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A4BCC" w:rsidRDefault="006A4BCC" w:rsidP="00FF1A3A">
      <w:pPr>
        <w:jc w:val="both"/>
        <w:rPr>
          <w:rFonts w:ascii="Arial" w:hAnsi="Arial" w:cs="Arial"/>
          <w:sz w:val="24"/>
          <w:szCs w:val="24"/>
        </w:rPr>
      </w:pPr>
    </w:p>
    <w:p w:rsidR="006A4BCC" w:rsidRPr="00CC30EB" w:rsidRDefault="006A4BCC" w:rsidP="00FF1A3A">
      <w:pPr>
        <w:pStyle w:val="Nadpis1"/>
        <w:ind w:left="142"/>
        <w:jc w:val="both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6A4BCC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6A4BCC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6A4BCC" w:rsidRPr="00CC30EB" w:rsidRDefault="006A4BCC" w:rsidP="0085570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6A4BC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A4BCC" w:rsidRDefault="006A4BCC" w:rsidP="00FF1A3A">
      <w:pPr>
        <w:ind w:left="142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6A4BCC" w:rsidRPr="00CC30EB" w:rsidRDefault="006A4BCC" w:rsidP="00FF1A3A">
      <w:pPr>
        <w:ind w:left="142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6A4BCC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4BCC" w:rsidRPr="00FF4A98" w:rsidRDefault="006A4BCC" w:rsidP="00855708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4BCC" w:rsidRPr="000A0215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4BCC" w:rsidRPr="000A0215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4BCC" w:rsidRPr="000A0215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4BCC" w:rsidRPr="000A0215" w:rsidRDefault="006A4BCC" w:rsidP="0085570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4BCC" w:rsidRPr="000A0215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4BCC" w:rsidRPr="000A0215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A4BCC" w:rsidRDefault="006A4BCC" w:rsidP="0085570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A4BCC" w:rsidRPr="00FF4A98" w:rsidRDefault="006A4BCC" w:rsidP="008557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A4BCC" w:rsidRDefault="006A4BCC" w:rsidP="00FF1A3A">
      <w:pPr>
        <w:pStyle w:val="Nadpis1"/>
        <w:spacing w:line="360" w:lineRule="auto"/>
        <w:ind w:left="142"/>
        <w:jc w:val="both"/>
        <w:rPr>
          <w:rFonts w:cs="Arial"/>
          <w:color w:val="0000FF"/>
          <w:szCs w:val="24"/>
        </w:rPr>
      </w:pPr>
    </w:p>
    <w:p w:rsidR="006A4BCC" w:rsidRPr="00FF4A98" w:rsidRDefault="006A4BCC" w:rsidP="00FF1A3A">
      <w:pPr>
        <w:pStyle w:val="Nadpis1"/>
        <w:spacing w:line="360" w:lineRule="auto"/>
        <w:ind w:left="142"/>
        <w:jc w:val="both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</w:t>
      </w:r>
    </w:p>
    <w:p w:rsidR="006A4BCC" w:rsidRDefault="006A4BCC" w:rsidP="00FF1A3A">
      <w:pPr>
        <w:spacing w:line="360" w:lineRule="auto"/>
        <w:jc w:val="both"/>
        <w:rPr>
          <w:rStyle w:val="Hypertextovodkaz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6A4BCC" w:rsidRPr="00FA2BDB" w:rsidRDefault="006A4BCC" w:rsidP="00FF1A3A">
      <w:pPr>
        <w:pStyle w:val="Nadpis1"/>
        <w:ind w:left="142"/>
        <w:rPr>
          <w:rFonts w:cs="Arial"/>
          <w:color w:val="0000FF"/>
          <w:szCs w:val="24"/>
        </w:rPr>
      </w:pPr>
      <w:r w:rsidRPr="00FA2BDB">
        <w:rPr>
          <w:rFonts w:cs="Arial"/>
          <w:color w:val="0000FF"/>
          <w:szCs w:val="24"/>
        </w:rPr>
        <w:lastRenderedPageBreak/>
        <w:t>Zhodnocení pacienta dle modelu</w:t>
      </w:r>
      <w:r>
        <w:rPr>
          <w:rFonts w:cs="Arial"/>
          <w:color w:val="0000FF"/>
          <w:szCs w:val="24"/>
        </w:rPr>
        <w:t xml:space="preserve"> GORDON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6A4BCC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A4BCC" w:rsidRPr="00F00C96" w:rsidRDefault="006A4BCC" w:rsidP="008557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A4BCC" w:rsidRPr="00F00C96" w:rsidRDefault="006A4BCC" w:rsidP="008557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A4BCC" w:rsidRPr="00FF4A98" w:rsidRDefault="006A4BCC" w:rsidP="00855708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A4BCC" w:rsidRPr="00F00C96" w:rsidRDefault="006A4BCC" w:rsidP="008557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A4BCC" w:rsidRPr="00F00C96" w:rsidRDefault="006A4BCC" w:rsidP="008557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A4BCC" w:rsidRPr="00FF4A98" w:rsidRDefault="006A4BCC" w:rsidP="008557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A4BCC" w:rsidRPr="00F00C96" w:rsidRDefault="006A4BCC" w:rsidP="008557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A4BCC" w:rsidRPr="00F00C96" w:rsidRDefault="006A4BCC" w:rsidP="008557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A4BCC" w:rsidRPr="00FF4A98" w:rsidRDefault="006A4BCC" w:rsidP="008557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A4BCC" w:rsidRPr="00F00C96" w:rsidRDefault="006A4BCC" w:rsidP="008557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A4BCC" w:rsidRPr="00F00C96" w:rsidRDefault="006A4BCC" w:rsidP="008557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A4BCC" w:rsidRPr="00FF4A98" w:rsidRDefault="006A4BCC" w:rsidP="008557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A4BCC" w:rsidRPr="00F00C96" w:rsidRDefault="006A4BCC" w:rsidP="008557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A4BCC" w:rsidRPr="00F00C96" w:rsidRDefault="006A4BCC" w:rsidP="008557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A4BCC" w:rsidRPr="00FF4A98" w:rsidRDefault="006A4BCC" w:rsidP="008557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A4BCC" w:rsidRPr="00F00C96" w:rsidRDefault="006A4BCC" w:rsidP="008557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A4BCC" w:rsidRPr="00F00C96" w:rsidRDefault="006A4BCC" w:rsidP="008557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A4BCC" w:rsidRPr="00FF4A98" w:rsidRDefault="006A4BCC" w:rsidP="008557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A4BCC" w:rsidRPr="00F00C96" w:rsidRDefault="006A4BCC" w:rsidP="008557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A4BCC" w:rsidRPr="00F00C96" w:rsidRDefault="006A4BCC" w:rsidP="008557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A4BCC" w:rsidRPr="00FF4A98" w:rsidRDefault="006A4BCC" w:rsidP="008557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A4BCC" w:rsidRPr="00F00C96" w:rsidRDefault="006A4BCC" w:rsidP="008557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A4BCC" w:rsidRPr="00F00C96" w:rsidRDefault="006A4BCC" w:rsidP="008557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A4BCC" w:rsidRPr="00FF4A98" w:rsidRDefault="006A4BCC" w:rsidP="008557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A4BCC" w:rsidRPr="00F00C96" w:rsidRDefault="006A4BCC" w:rsidP="008557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A4BCC" w:rsidRPr="00F00C96" w:rsidRDefault="006A4BCC" w:rsidP="008557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A4BCC" w:rsidRPr="00FF4A98" w:rsidRDefault="006A4BCC" w:rsidP="008557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A4BCC" w:rsidRPr="00F00C96" w:rsidRDefault="006A4BCC" w:rsidP="008557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A4BCC" w:rsidRPr="00F00C96" w:rsidRDefault="006A4BCC" w:rsidP="008557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A4BCC" w:rsidRPr="00FF4A98" w:rsidRDefault="006A4BCC" w:rsidP="008557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A4BCC" w:rsidRPr="00F00C96" w:rsidRDefault="006A4BCC" w:rsidP="008557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A4BCC" w:rsidRPr="00F00C96" w:rsidRDefault="006A4BCC" w:rsidP="008557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A4BCC" w:rsidRPr="00FF4A98" w:rsidRDefault="006A4BCC" w:rsidP="008557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A4BCC" w:rsidRPr="00F00C96" w:rsidRDefault="006A4BCC" w:rsidP="008557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A4BCC" w:rsidRPr="00F00C96" w:rsidRDefault="006A4BCC" w:rsidP="008557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A4BCC" w:rsidRPr="00FF4A98" w:rsidRDefault="006A4BCC" w:rsidP="008557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BC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A4BCC" w:rsidRPr="00F00C96" w:rsidRDefault="006A4BCC" w:rsidP="008557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A4BCC" w:rsidRPr="00F00C96" w:rsidRDefault="006A4BCC" w:rsidP="008557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4BCC" w:rsidRPr="00FF4A98" w:rsidRDefault="006A4BCC" w:rsidP="008557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A4BCC" w:rsidRDefault="006A4BCC" w:rsidP="00FF1A3A"/>
    <w:p w:rsidR="006A4BCC" w:rsidRDefault="006A4BCC" w:rsidP="00FF1A3A"/>
    <w:p w:rsidR="006A4BCC" w:rsidRPr="00011734" w:rsidRDefault="006A4BCC" w:rsidP="00FF1A3A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011734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</w:t>
      </w:r>
    </w:p>
    <w:p w:rsidR="006A4BCC" w:rsidRPr="007D1D04" w:rsidRDefault="006A4BCC" w:rsidP="00FF1A3A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Stanovte ošetřovatelské problémy </w:t>
      </w:r>
      <w:r>
        <w:rPr>
          <w:rFonts w:ascii="Arial" w:hAnsi="Arial" w:cs="Arial"/>
          <w:b/>
          <w:color w:val="0000FF"/>
          <w:sz w:val="24"/>
          <w:szCs w:val="24"/>
        </w:rPr>
        <w:t>pacienta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v rámci holistické filosofie.</w:t>
      </w:r>
    </w:p>
    <w:p w:rsidR="006A4BCC" w:rsidRDefault="006A4BCC" w:rsidP="00FF1A3A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Výše prezentovaná data v rámci prvního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kroku ošetřovatelského procesu </w:t>
      </w:r>
      <w:r>
        <w:rPr>
          <w:rFonts w:ascii="Arial" w:hAnsi="Arial" w:cs="Arial"/>
          <w:b/>
          <w:color w:val="0000FF"/>
          <w:sz w:val="24"/>
          <w:szCs w:val="24"/>
        </w:rPr>
        <w:t>za využití koncepčního modelu M. Gordon utřiďte, zhodnoťte a doplňte chybějící údaje.</w:t>
      </w:r>
    </w:p>
    <w:p w:rsidR="006A4BCC" w:rsidRPr="007D1D04" w:rsidRDefault="006A4BCC" w:rsidP="00FF1A3A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</w:t>
      </w:r>
      <w:r>
        <w:rPr>
          <w:rFonts w:ascii="Arial" w:hAnsi="Arial" w:cs="Arial"/>
          <w:b/>
          <w:color w:val="0000FF"/>
          <w:sz w:val="24"/>
          <w:szCs w:val="24"/>
        </w:rPr>
        <w:t>zy dle NANDA 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6A4BCC" w:rsidRPr="007D1D04" w:rsidRDefault="006A4BCC" w:rsidP="00FF1A3A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6A4BCC" w:rsidRPr="007D1D04" w:rsidRDefault="006A4BCC" w:rsidP="00FF1A3A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F1A3A">
        <w:rPr>
          <w:rFonts w:ascii="Arial" w:hAnsi="Arial" w:cs="Arial"/>
          <w:b/>
          <w:color w:val="0000FF"/>
          <w:sz w:val="24"/>
          <w:szCs w:val="24"/>
        </w:rPr>
        <w:t xml:space="preserve">Vyberte jednu ze stanovených diagnóz a navrhněte u ní cíle, očekávané výsledky 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FF1A3A">
        <w:rPr>
          <w:rFonts w:ascii="Arial" w:hAnsi="Arial" w:cs="Arial"/>
          <w:b/>
          <w:color w:val="0000FF"/>
          <w:sz w:val="24"/>
          <w:szCs w:val="24"/>
        </w:rPr>
        <w:t>intervence.</w:t>
      </w:r>
      <w:r w:rsidRPr="0097687F">
        <w:t xml:space="preserve"> </w:t>
      </w:r>
    </w:p>
    <w:p w:rsidR="006A4BCC" w:rsidRDefault="006A4BCC" w:rsidP="00FF1A3A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Je v ČR dobrovolná a nedobrovolná péče o psychiatrické pacienty?</w:t>
      </w:r>
    </w:p>
    <w:p w:rsidR="006A4BCC" w:rsidRDefault="006A4BCC" w:rsidP="00FF1A3A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Je paranoidní schizofrenie vyléčitelná?</w:t>
      </w:r>
    </w:p>
    <w:sectPr w:rsidR="006A4BCC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422" w:rsidRDefault="00D52422" w:rsidP="00A5128C">
      <w:r>
        <w:separator/>
      </w:r>
    </w:p>
  </w:endnote>
  <w:endnote w:type="continuationSeparator" w:id="0">
    <w:p w:rsidR="00D52422" w:rsidRDefault="00D52422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422" w:rsidRDefault="00D52422" w:rsidP="00A5128C">
      <w:r>
        <w:separator/>
      </w:r>
    </w:p>
  </w:footnote>
  <w:footnote w:type="continuationSeparator" w:id="0">
    <w:p w:rsidR="00D52422" w:rsidRDefault="00D52422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BCC" w:rsidRDefault="006A4BCC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6A4BCC" w:rsidRPr="00A5128C" w:rsidRDefault="006A4BCC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11734"/>
    <w:rsid w:val="00016A20"/>
    <w:rsid w:val="00023FAD"/>
    <w:rsid w:val="00070C49"/>
    <w:rsid w:val="00075E35"/>
    <w:rsid w:val="000862B1"/>
    <w:rsid w:val="000A0215"/>
    <w:rsid w:val="000B3603"/>
    <w:rsid w:val="000C0090"/>
    <w:rsid w:val="000C7352"/>
    <w:rsid w:val="000D1124"/>
    <w:rsid w:val="000D57E7"/>
    <w:rsid w:val="0014470C"/>
    <w:rsid w:val="001C50A5"/>
    <w:rsid w:val="001F2043"/>
    <w:rsid w:val="0020034B"/>
    <w:rsid w:val="002057C3"/>
    <w:rsid w:val="002370F2"/>
    <w:rsid w:val="002428F9"/>
    <w:rsid w:val="00262E90"/>
    <w:rsid w:val="002634CC"/>
    <w:rsid w:val="002B1554"/>
    <w:rsid w:val="002F29CD"/>
    <w:rsid w:val="003404DA"/>
    <w:rsid w:val="00341882"/>
    <w:rsid w:val="003508AE"/>
    <w:rsid w:val="003572DD"/>
    <w:rsid w:val="00374A2D"/>
    <w:rsid w:val="00384220"/>
    <w:rsid w:val="00394C5F"/>
    <w:rsid w:val="00397E02"/>
    <w:rsid w:val="0043475F"/>
    <w:rsid w:val="00443F08"/>
    <w:rsid w:val="0045360F"/>
    <w:rsid w:val="00483FC6"/>
    <w:rsid w:val="0048641A"/>
    <w:rsid w:val="004B5477"/>
    <w:rsid w:val="004D1B23"/>
    <w:rsid w:val="004E0BC7"/>
    <w:rsid w:val="0051220E"/>
    <w:rsid w:val="00536CB3"/>
    <w:rsid w:val="00572FCD"/>
    <w:rsid w:val="0057530D"/>
    <w:rsid w:val="00593FD1"/>
    <w:rsid w:val="0059468E"/>
    <w:rsid w:val="005B38FA"/>
    <w:rsid w:val="005B5DAD"/>
    <w:rsid w:val="005C4A55"/>
    <w:rsid w:val="005F16D5"/>
    <w:rsid w:val="0060696B"/>
    <w:rsid w:val="00612C92"/>
    <w:rsid w:val="00622DF0"/>
    <w:rsid w:val="006318DD"/>
    <w:rsid w:val="006370C0"/>
    <w:rsid w:val="0064204B"/>
    <w:rsid w:val="006445D3"/>
    <w:rsid w:val="0064647B"/>
    <w:rsid w:val="006827A1"/>
    <w:rsid w:val="00686E9F"/>
    <w:rsid w:val="006A2814"/>
    <w:rsid w:val="006A4BCC"/>
    <w:rsid w:val="006B2468"/>
    <w:rsid w:val="006D0483"/>
    <w:rsid w:val="006F340E"/>
    <w:rsid w:val="007333C2"/>
    <w:rsid w:val="00747849"/>
    <w:rsid w:val="00750865"/>
    <w:rsid w:val="00762B2F"/>
    <w:rsid w:val="00763385"/>
    <w:rsid w:val="00782BA0"/>
    <w:rsid w:val="007835B2"/>
    <w:rsid w:val="007922DB"/>
    <w:rsid w:val="007A18FC"/>
    <w:rsid w:val="007A76AC"/>
    <w:rsid w:val="007C59A9"/>
    <w:rsid w:val="007C6857"/>
    <w:rsid w:val="007D0ED4"/>
    <w:rsid w:val="007D1D04"/>
    <w:rsid w:val="007D2527"/>
    <w:rsid w:val="007E2E09"/>
    <w:rsid w:val="00855708"/>
    <w:rsid w:val="008608F2"/>
    <w:rsid w:val="0086351D"/>
    <w:rsid w:val="008C7D76"/>
    <w:rsid w:val="008E5600"/>
    <w:rsid w:val="008E5A8B"/>
    <w:rsid w:val="00911A59"/>
    <w:rsid w:val="009266A6"/>
    <w:rsid w:val="009605E5"/>
    <w:rsid w:val="0097687F"/>
    <w:rsid w:val="00982798"/>
    <w:rsid w:val="0098367B"/>
    <w:rsid w:val="00984AA9"/>
    <w:rsid w:val="009C10F4"/>
    <w:rsid w:val="009C6375"/>
    <w:rsid w:val="009D0213"/>
    <w:rsid w:val="00A5128C"/>
    <w:rsid w:val="00A52136"/>
    <w:rsid w:val="00A809EF"/>
    <w:rsid w:val="00A82FFB"/>
    <w:rsid w:val="00A93B51"/>
    <w:rsid w:val="00AB2287"/>
    <w:rsid w:val="00AC59FE"/>
    <w:rsid w:val="00AD4364"/>
    <w:rsid w:val="00B00DC4"/>
    <w:rsid w:val="00B052AB"/>
    <w:rsid w:val="00B209C5"/>
    <w:rsid w:val="00B73A89"/>
    <w:rsid w:val="00C758F0"/>
    <w:rsid w:val="00C87CED"/>
    <w:rsid w:val="00CC30EB"/>
    <w:rsid w:val="00CC66D7"/>
    <w:rsid w:val="00CD1414"/>
    <w:rsid w:val="00D06958"/>
    <w:rsid w:val="00D10C71"/>
    <w:rsid w:val="00D5169A"/>
    <w:rsid w:val="00D52422"/>
    <w:rsid w:val="00D610D8"/>
    <w:rsid w:val="00D67AB0"/>
    <w:rsid w:val="00D75410"/>
    <w:rsid w:val="00E9615E"/>
    <w:rsid w:val="00EA345D"/>
    <w:rsid w:val="00EC46CD"/>
    <w:rsid w:val="00EC4D86"/>
    <w:rsid w:val="00EE032D"/>
    <w:rsid w:val="00EE6A15"/>
    <w:rsid w:val="00F00C96"/>
    <w:rsid w:val="00F0619A"/>
    <w:rsid w:val="00F21DFA"/>
    <w:rsid w:val="00F60A8C"/>
    <w:rsid w:val="00F629B6"/>
    <w:rsid w:val="00F629CB"/>
    <w:rsid w:val="00F675D2"/>
    <w:rsid w:val="00F750D4"/>
    <w:rsid w:val="00FA2BDB"/>
    <w:rsid w:val="00FC5F3A"/>
    <w:rsid w:val="00FD1C23"/>
    <w:rsid w:val="00FF1A3A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9C6375"/>
    <w:rPr>
      <w:rFonts w:cs="Times New Roman"/>
      <w:color w:val="0000FF"/>
      <w:u w:val="single"/>
    </w:rPr>
  </w:style>
  <w:style w:type="paragraph" w:styleId="Normlnweb">
    <w:name w:val="Normal (Web)"/>
    <w:basedOn w:val="Normln"/>
    <w:rsid w:val="0064204B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07724EA-295B-4B8F-B038-7D9A79A60F6A}"/>
</file>

<file path=customXml/itemProps2.xml><?xml version="1.0" encoding="utf-8"?>
<ds:datastoreItem xmlns:ds="http://schemas.openxmlformats.org/officeDocument/2006/customXml" ds:itemID="{27F28D38-B4AC-455C-B82D-CD29664E325C}"/>
</file>

<file path=customXml/itemProps3.xml><?xml version="1.0" encoding="utf-8"?>
<ds:datastoreItem xmlns:ds="http://schemas.openxmlformats.org/officeDocument/2006/customXml" ds:itemID="{4DCAAE9C-4B53-4813-BC26-9DC4C7D4D2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1268</Words>
  <Characters>7484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 paranoidní schizofrenií</vt:lpstr>
    </vt:vector>
  </TitlesOfParts>
  <Company>HP</Company>
  <LinksUpToDate>false</LinksUpToDate>
  <CharactersWithSpaces>8735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 paranoidní schizofrenií</dc:title>
  <dc:creator>VSZDRAV</dc:creator>
  <cp:lastModifiedBy>Němcová Jitka</cp:lastModifiedBy>
  <cp:revision>2</cp:revision>
  <dcterms:created xsi:type="dcterms:W3CDTF">2015-04-14T09:27:00Z</dcterms:created>
  <dcterms:modified xsi:type="dcterms:W3CDTF">2015-04-14T09:27:00Z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