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FC4" w:rsidRDefault="00C23FC4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 před plánovanou operací fraktury zygomaticomaxillárního komplexu (revize, repozice, fixace)</w:t>
      </w:r>
    </w:p>
    <w:p w:rsidR="00C23FC4" w:rsidRDefault="00C23FC4" w:rsidP="00FE7CAB">
      <w:pPr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C23FC4" w:rsidRDefault="00C23FC4" w:rsidP="00FE7CAB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</w:t>
      </w:r>
    </w:p>
    <w:p w:rsidR="00C23FC4" w:rsidRDefault="00C1772E" w:rsidP="00FE7C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61letý pacient dne 1. 5. 2014 v noci v </w:t>
      </w:r>
      <w:r w:rsidR="00C23FC4">
        <w:rPr>
          <w:rFonts w:ascii="Arial" w:hAnsi="Arial" w:cs="Arial"/>
          <w:sz w:val="24"/>
          <w:szCs w:val="24"/>
        </w:rPr>
        <w:t>ebrietě spadl z kola na obličej. Na úraz si vesměs pamatuje. Byl převezen RZS na traumatologickou ambulanci, kde bylo zhotoveno CT hlavy a diagnostikována fraktura maxillae v linii LeFort II, Haemosinus bilaterálně, fraktura orbita bilaterálně. Poté byl odeslán k  hospitalizaci a operačnímu výkonu na Stomatologickou kliniku (revize, repozice a fixace fraktury zygomaticomaxillárního komplexu).</w:t>
      </w:r>
    </w:p>
    <w:p w:rsidR="00C23FC4" w:rsidRDefault="00C23FC4" w:rsidP="00FE7CAB">
      <w:pPr>
        <w:jc w:val="both"/>
        <w:rPr>
          <w:rFonts w:ascii="Arial" w:hAnsi="Arial" w:cs="Arial"/>
          <w:sz w:val="24"/>
          <w:szCs w:val="24"/>
        </w:rPr>
      </w:pPr>
    </w:p>
    <w:p w:rsidR="00C23FC4" w:rsidRDefault="00C23FC4" w:rsidP="00FE7CAB">
      <w:pPr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C23FC4" w:rsidRPr="00BC299D" w:rsidRDefault="00C1772E" w:rsidP="00FE7CAB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Hodnoty zjištěné při pří</w:t>
      </w:r>
      <w:r w:rsidR="00C23FC4">
        <w:rPr>
          <w:rFonts w:ascii="Arial" w:hAnsi="Arial" w:cs="Arial"/>
          <w:b/>
          <w:color w:val="0000FF"/>
          <w:sz w:val="24"/>
          <w:szCs w:val="24"/>
        </w:rPr>
        <w:t>jmu</w:t>
      </w:r>
    </w:p>
    <w:p w:rsidR="00C23FC4" w:rsidRDefault="00C23FC4" w:rsidP="00FE7CAB">
      <w:pPr>
        <w:jc w:val="both"/>
        <w:rPr>
          <w:sz w:val="23"/>
          <w:szCs w:val="23"/>
        </w:rPr>
      </w:pPr>
    </w:p>
    <w:p w:rsidR="00C23FC4" w:rsidRDefault="00C23FC4" w:rsidP="003D61AA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 je orientovaný, spolupracuje, bolest nyní neguje, požití alkoholu přiznává (z dechu 1,43 promile)</w:t>
      </w:r>
    </w:p>
    <w:p w:rsidR="00C23FC4" w:rsidRDefault="00C23FC4" w:rsidP="003D61AA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kardiopulmonálně kompenzovaný, eupnoe, bez známek akutního infektu, afebrilní, mnohočetné odřeniny na těle</w:t>
      </w:r>
    </w:p>
    <w:p w:rsidR="00C23FC4" w:rsidRDefault="00C23FC4" w:rsidP="003D61AA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otok v oblasti kořene nosu, mnohočetná ztrátová poranění rtů, na čele tržně zhmožděná rána cca 5 cm, schůdek na margoinfraorbitalis vlevo s přidruženou krepitací</w:t>
      </w:r>
    </w:p>
    <w:p w:rsidR="00C23FC4" w:rsidRDefault="00C23FC4" w:rsidP="003D61AA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 uvádí diplopii v pohledu přímo, ústa otevírá volně bez omezení, dolní čelist neuchyluje</w:t>
      </w:r>
    </w:p>
    <w:p w:rsidR="00C23FC4" w:rsidRDefault="00C23FC4" w:rsidP="003D61AA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orientační neurologický nález v normě, bez meningeálních příznaků</w:t>
      </w:r>
    </w:p>
    <w:p w:rsidR="00C23FC4" w:rsidRDefault="00C23FC4" w:rsidP="001614D4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UZ břicha – bez traumatických změn, difuzní steatóza jater</w:t>
      </w:r>
    </w:p>
    <w:p w:rsidR="00C23FC4" w:rsidRDefault="00C23FC4" w:rsidP="001614D4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RTG páteře, hrudníku, žeber, pánve, pravého kolene – vše bez patologických změn</w:t>
      </w:r>
    </w:p>
    <w:p w:rsidR="00C23FC4" w:rsidRDefault="00C23FC4" w:rsidP="003D61AA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výška: 190 cm; hmotnost: 102 kg; TT: 36,7 </w:t>
      </w:r>
      <w:r>
        <w:rPr>
          <w:rFonts w:ascii="Tahoma" w:hAnsi="Tahoma" w:cs="Tahoma"/>
          <w:sz w:val="24"/>
          <w:szCs w:val="24"/>
        </w:rPr>
        <w:t>̊</w:t>
      </w:r>
      <w:r>
        <w:rPr>
          <w:rFonts w:ascii="Arial" w:hAnsi="Arial" w:cs="Arial"/>
          <w:sz w:val="24"/>
          <w:szCs w:val="24"/>
        </w:rPr>
        <w:t>C TK 148/85 mmHg, P: 76/min</w:t>
      </w:r>
      <w:r w:rsidR="00C1772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; DF: 14/min</w:t>
      </w:r>
      <w:r w:rsidR="00C1772E">
        <w:rPr>
          <w:rFonts w:ascii="Arial" w:hAnsi="Arial" w:cs="Arial"/>
          <w:sz w:val="24"/>
          <w:szCs w:val="24"/>
        </w:rPr>
        <w:t>.</w:t>
      </w:r>
    </w:p>
    <w:p w:rsidR="00C23FC4" w:rsidRDefault="00C1772E" w:rsidP="003D61AA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ordinace: odběry – KO+</w:t>
      </w:r>
      <w:r w:rsidR="00C23FC4">
        <w:rPr>
          <w:rFonts w:ascii="Arial" w:hAnsi="Arial" w:cs="Arial"/>
          <w:sz w:val="24"/>
          <w:szCs w:val="24"/>
        </w:rPr>
        <w:t>diff., biochemie, interní předoperační vyšetření</w:t>
      </w:r>
    </w:p>
    <w:p w:rsidR="00C23FC4" w:rsidRDefault="00C23FC4" w:rsidP="00364124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C23FC4" w:rsidRPr="00364124" w:rsidRDefault="00C23FC4" w:rsidP="00364124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364124">
        <w:rPr>
          <w:rFonts w:ascii="Arial" w:hAnsi="Arial" w:cs="Arial"/>
          <w:b/>
          <w:color w:val="0000FF"/>
          <w:sz w:val="24"/>
          <w:szCs w:val="24"/>
        </w:rPr>
        <w:t>Hodnoty zjištěné v průběhu hospitalizace 2.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364124">
        <w:rPr>
          <w:rFonts w:ascii="Arial" w:hAnsi="Arial" w:cs="Arial"/>
          <w:b/>
          <w:color w:val="0000FF"/>
          <w:sz w:val="24"/>
          <w:szCs w:val="24"/>
        </w:rPr>
        <w:t>5.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364124">
        <w:rPr>
          <w:rFonts w:ascii="Arial" w:hAnsi="Arial" w:cs="Arial"/>
          <w:b/>
          <w:color w:val="0000FF"/>
          <w:sz w:val="24"/>
          <w:szCs w:val="24"/>
        </w:rPr>
        <w:t>2014</w:t>
      </w:r>
    </w:p>
    <w:p w:rsidR="00C23FC4" w:rsidRDefault="00C23FC4" w:rsidP="00877CBF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877CBF">
        <w:rPr>
          <w:rFonts w:ascii="Arial" w:hAnsi="Arial" w:cs="Arial"/>
          <w:sz w:val="24"/>
          <w:szCs w:val="24"/>
        </w:rPr>
        <w:t>2. den hospitalizace TK 187/97</w:t>
      </w:r>
      <w:r>
        <w:rPr>
          <w:rFonts w:ascii="Arial" w:hAnsi="Arial" w:cs="Arial"/>
          <w:sz w:val="24"/>
          <w:szCs w:val="24"/>
        </w:rPr>
        <w:t xml:space="preserve"> mmHg</w:t>
      </w:r>
    </w:p>
    <w:p w:rsidR="00C23FC4" w:rsidRDefault="00C23FC4" w:rsidP="00507D32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 schopen plánovaného výkonu s vyšším rizikem (hypertenze vs reaktivní), bude-li v den operace nad 140/90 mmHg, podat jednorázově Agen 5 mg tbl., rovněž vhodná kontrola TT a CRP</w:t>
      </w:r>
    </w:p>
    <w:p w:rsidR="00C23FC4" w:rsidRDefault="00C23FC4" w:rsidP="00507D32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chronická terapie: Milurit tbl. 100 mg (1-0-0) a Fenofix 200 mg tbl. (1-0-0)</w:t>
      </w:r>
    </w:p>
    <w:p w:rsidR="00C23FC4" w:rsidRDefault="00C23FC4" w:rsidP="00877CBF">
      <w:pPr>
        <w:jc w:val="both"/>
        <w:rPr>
          <w:rFonts w:ascii="Arial" w:hAnsi="Arial" w:cs="Arial"/>
          <w:sz w:val="24"/>
          <w:szCs w:val="24"/>
        </w:rPr>
      </w:pPr>
    </w:p>
    <w:p w:rsidR="00C23FC4" w:rsidRDefault="00C23FC4" w:rsidP="00877CBF">
      <w:pPr>
        <w:jc w:val="both"/>
        <w:rPr>
          <w:rFonts w:ascii="Arial" w:hAnsi="Arial" w:cs="Arial"/>
          <w:sz w:val="24"/>
          <w:szCs w:val="24"/>
        </w:rPr>
      </w:pPr>
    </w:p>
    <w:p w:rsidR="00C23FC4" w:rsidRDefault="00C23FC4" w:rsidP="00877CBF">
      <w:pPr>
        <w:jc w:val="both"/>
        <w:rPr>
          <w:rFonts w:ascii="Arial" w:hAnsi="Arial" w:cs="Arial"/>
          <w:sz w:val="24"/>
          <w:szCs w:val="24"/>
        </w:rPr>
      </w:pPr>
    </w:p>
    <w:p w:rsidR="00C23FC4" w:rsidRDefault="00C23FC4" w:rsidP="00877CBF">
      <w:pPr>
        <w:jc w:val="both"/>
        <w:rPr>
          <w:rFonts w:ascii="Arial" w:hAnsi="Arial" w:cs="Arial"/>
          <w:sz w:val="24"/>
          <w:szCs w:val="24"/>
        </w:rPr>
      </w:pPr>
    </w:p>
    <w:p w:rsidR="00C23FC4" w:rsidRDefault="00C23FC4" w:rsidP="00877CBF">
      <w:pPr>
        <w:jc w:val="both"/>
        <w:rPr>
          <w:rFonts w:ascii="Arial" w:hAnsi="Arial" w:cs="Arial"/>
          <w:sz w:val="24"/>
          <w:szCs w:val="24"/>
        </w:rPr>
      </w:pPr>
    </w:p>
    <w:p w:rsidR="00C23FC4" w:rsidRDefault="00C23FC4" w:rsidP="00877CBF">
      <w:pPr>
        <w:jc w:val="both"/>
        <w:rPr>
          <w:rFonts w:ascii="Arial" w:hAnsi="Arial" w:cs="Arial"/>
          <w:sz w:val="24"/>
          <w:szCs w:val="24"/>
        </w:rPr>
      </w:pPr>
    </w:p>
    <w:p w:rsidR="00C23FC4" w:rsidRDefault="00C23FC4" w:rsidP="00877CBF">
      <w:pPr>
        <w:jc w:val="both"/>
        <w:rPr>
          <w:rFonts w:ascii="Arial" w:hAnsi="Arial" w:cs="Arial"/>
          <w:sz w:val="24"/>
          <w:szCs w:val="24"/>
        </w:rPr>
      </w:pPr>
    </w:p>
    <w:p w:rsidR="00C23FC4" w:rsidRDefault="00C23FC4" w:rsidP="00877CBF">
      <w:pPr>
        <w:jc w:val="both"/>
        <w:rPr>
          <w:rFonts w:ascii="Arial" w:hAnsi="Arial" w:cs="Arial"/>
          <w:sz w:val="24"/>
          <w:szCs w:val="24"/>
        </w:rPr>
      </w:pPr>
    </w:p>
    <w:p w:rsidR="00C23FC4" w:rsidRPr="00877CBF" w:rsidRDefault="00C23FC4" w:rsidP="00877CBF">
      <w:pPr>
        <w:jc w:val="both"/>
        <w:rPr>
          <w:rFonts w:ascii="Arial" w:hAnsi="Arial" w:cs="Arial"/>
          <w:sz w:val="24"/>
          <w:szCs w:val="24"/>
        </w:rPr>
      </w:pPr>
    </w:p>
    <w:p w:rsidR="00C23FC4" w:rsidRPr="00877CBF" w:rsidRDefault="00C23FC4" w:rsidP="004D1B23">
      <w:pPr>
        <w:rPr>
          <w:rFonts w:ascii="Arial" w:hAnsi="Arial" w:cs="Arial"/>
          <w:sz w:val="24"/>
          <w:szCs w:val="24"/>
        </w:rPr>
      </w:pPr>
    </w:p>
    <w:p w:rsidR="00C23FC4" w:rsidRDefault="00C23FC4" w:rsidP="00A53D86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lastRenderedPageBreak/>
        <w:t>Ošetřovatelský proces u pacienta s frakturou zygomaticomaxillárního komplexu</w:t>
      </w:r>
    </w:p>
    <w:p w:rsidR="00C23FC4" w:rsidRDefault="00C23FC4" w:rsidP="00A53D86">
      <w:pPr>
        <w:rPr>
          <w:sz w:val="23"/>
          <w:szCs w:val="23"/>
        </w:rPr>
      </w:pPr>
    </w:p>
    <w:p w:rsidR="00C23FC4" w:rsidRDefault="00C23FC4" w:rsidP="00A53D86">
      <w:pPr>
        <w:pStyle w:val="Nadpis1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C23FC4" w:rsidRPr="00CC30EB" w:rsidRDefault="00C23FC4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C23FC4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Pr="00FF4A98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  <w:r w:rsidR="00C1772E">
              <w:rPr>
                <w:rFonts w:ascii="Arial" w:hAnsi="Arial" w:cs="Arial"/>
                <w:sz w:val="24"/>
                <w:szCs w:val="24"/>
              </w:rPr>
              <w:t>. Y.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Pr="00FF4A98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61 let</w:t>
            </w:r>
          </w:p>
        </w:tc>
      </w:tr>
      <w:tr w:rsidR="00C23FC4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Pr="00FF4A98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Sokolov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Pr="00FF4A98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středoškolské</w:t>
            </w:r>
          </w:p>
        </w:tc>
      </w:tr>
      <w:tr w:rsidR="00C23FC4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Pr="00FF4A98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ženatý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Pr="00FF4A98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stomatologie</w:t>
            </w:r>
          </w:p>
        </w:tc>
      </w:tr>
      <w:tr w:rsidR="00C23FC4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Pr="00FF4A98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1. 5. 2014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Pr="00FF4A98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</w:tr>
      <w:tr w:rsidR="00C23FC4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23FC4" w:rsidRPr="00FF4A98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4. 5. 2014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C23FC4" w:rsidRPr="00FD0A5E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0A5E">
              <w:rPr>
                <w:rFonts w:ascii="Arial" w:hAnsi="Arial" w:cs="Arial"/>
                <w:b/>
                <w:sz w:val="24"/>
                <w:szCs w:val="24"/>
              </w:rPr>
              <w:t>Pooperační den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 (přeložen z JIP na standardní odd.)</w:t>
            </w:r>
          </w:p>
        </w:tc>
      </w:tr>
    </w:tbl>
    <w:p w:rsidR="00C23FC4" w:rsidRPr="00FF4A98" w:rsidRDefault="00C23FC4" w:rsidP="00D67AB0">
      <w:pPr>
        <w:pStyle w:val="Nadpis1"/>
        <w:rPr>
          <w:rFonts w:cs="Arial"/>
          <w:b w:val="0"/>
          <w:szCs w:val="24"/>
        </w:rPr>
      </w:pPr>
    </w:p>
    <w:p w:rsidR="00C23FC4" w:rsidRPr="00CC30EB" w:rsidRDefault="00C23FC4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C23FC4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3FC4" w:rsidRPr="00FF4A98" w:rsidRDefault="00C23FC4" w:rsidP="002F00F1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přijat k revizi, repozici a fixaci fraktury zygomaticomaxillárního komplexu bilaterálně po pádu z kola v ebrietě.</w:t>
            </w:r>
          </w:p>
        </w:tc>
      </w:tr>
    </w:tbl>
    <w:p w:rsidR="00C23FC4" w:rsidRDefault="00C23FC4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C23FC4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Pr="00FF4A98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matka pacienta karcinom prsu, jinak bezvýznamná</w:t>
            </w:r>
          </w:p>
        </w:tc>
      </w:tr>
      <w:tr w:rsidR="00C23FC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Pr="00FF4A98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nemocnost: hypercholesterolemie, dna</w:t>
            </w:r>
          </w:p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operace: 2010, apendectomia</w:t>
            </w:r>
          </w:p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úrazy: až nyní</w:t>
            </w:r>
          </w:p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bezvědomí: 0, křeče: 0</w:t>
            </w:r>
          </w:p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zvýšená krvácivost: neudává</w:t>
            </w:r>
          </w:p>
          <w:p w:rsidR="00C23FC4" w:rsidRPr="00FF4A98" w:rsidRDefault="00C23FC4" w:rsidP="002F00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transfuze: 0, dieta: 0</w:t>
            </w:r>
          </w:p>
        </w:tc>
      </w:tr>
      <w:tr w:rsidR="00C23FC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C23FC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C23FC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 potíží</w:t>
            </w:r>
          </w:p>
        </w:tc>
      </w:tr>
      <w:tr w:rsidR="00C23FC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v úplné rodině v panelovém domě</w:t>
            </w:r>
          </w:p>
        </w:tc>
      </w:tr>
      <w:tr w:rsidR="00C23FC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majitel soukromé firmy</w:t>
            </w:r>
          </w:p>
        </w:tc>
      </w:tr>
      <w:tr w:rsidR="00C23FC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23FC4" w:rsidRPr="00FF4A98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ateista</w:t>
            </w:r>
          </w:p>
        </w:tc>
      </w:tr>
    </w:tbl>
    <w:p w:rsidR="00C23FC4" w:rsidRDefault="00C23FC4" w:rsidP="00D67AB0">
      <w:pPr>
        <w:rPr>
          <w:rFonts w:ascii="Arial" w:hAnsi="Arial" w:cs="Arial"/>
          <w:sz w:val="24"/>
          <w:szCs w:val="24"/>
        </w:rPr>
      </w:pPr>
    </w:p>
    <w:p w:rsidR="00C23FC4" w:rsidRPr="00CC30EB" w:rsidRDefault="00C23FC4" w:rsidP="00F141CF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ová anamnéza – chronická </w:t>
      </w:r>
    </w:p>
    <w:p w:rsidR="00C23FC4" w:rsidRDefault="00C23FC4" w:rsidP="00D67AB0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1"/>
        <w:gridCol w:w="1794"/>
        <w:gridCol w:w="1794"/>
        <w:gridCol w:w="1816"/>
        <w:gridCol w:w="1955"/>
      </w:tblGrid>
      <w:tr w:rsidR="00C23FC4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23FC4" w:rsidRPr="00FE0D35" w:rsidRDefault="00C23FC4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E0D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Název léku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23FC4" w:rsidRPr="00FE0D35" w:rsidRDefault="00C23FC4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E0D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Forma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23FC4" w:rsidRPr="00FE0D35" w:rsidRDefault="00C23FC4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E0D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Síla 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23FC4" w:rsidRPr="00FE0D35" w:rsidRDefault="00C23FC4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E0D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23FC4" w:rsidRPr="00FE0D35" w:rsidRDefault="00C23FC4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E0D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Skupina </w:t>
            </w:r>
          </w:p>
        </w:tc>
      </w:tr>
      <w:tr w:rsidR="00C23FC4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23FC4" w:rsidRPr="00FE0D35" w:rsidRDefault="00C23FC4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Milurit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C4" w:rsidRPr="00FE0D35" w:rsidRDefault="00C23FC4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C4" w:rsidRPr="00FE0D35" w:rsidRDefault="00C23FC4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C4" w:rsidRPr="00FE0D35" w:rsidRDefault="00C23FC4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1-0-0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Pr="00FE0D35" w:rsidRDefault="00C23FC4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23FC4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23FC4" w:rsidRPr="00FE0D35" w:rsidRDefault="00C23FC4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Fenofix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C4" w:rsidRPr="00FE0D35" w:rsidRDefault="00C23FC4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C4" w:rsidRPr="00FE0D35" w:rsidRDefault="00C23FC4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C4" w:rsidRPr="00FE0D35" w:rsidRDefault="00C23FC4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1-0-0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Pr="00FE0D35" w:rsidRDefault="00C23FC4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23FC4" w:rsidRDefault="00C23FC4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C23FC4" w:rsidRPr="00CC30EB" w:rsidRDefault="00C23FC4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C23FC4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W0201 Pád na kole</w:t>
            </w:r>
          </w:p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S0274  Fractura maxillae v linii LeFort II</w:t>
            </w:r>
          </w:p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S0230  Fractura orbita 1. dx.</w:t>
            </w:r>
          </w:p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S017    Mnohočetné tržně zhmožděné rány obličeje (čelo, rty)</w:t>
            </w:r>
          </w:p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S022    Fractura ossium nasí, haemosinus</w:t>
            </w:r>
          </w:p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E780    Hypercholesterolemie</w:t>
            </w:r>
          </w:p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M10     Dna</w:t>
            </w:r>
          </w:p>
        </w:tc>
      </w:tr>
      <w:tr w:rsidR="00C23FC4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S043    Poranění trojklanného nervu</w:t>
            </w:r>
          </w:p>
        </w:tc>
      </w:tr>
    </w:tbl>
    <w:p w:rsidR="00C23FC4" w:rsidRDefault="00C23FC4" w:rsidP="00D67AB0">
      <w:pPr>
        <w:rPr>
          <w:rFonts w:ascii="Arial" w:hAnsi="Arial" w:cs="Arial"/>
          <w:sz w:val="24"/>
          <w:szCs w:val="24"/>
        </w:rPr>
      </w:pPr>
    </w:p>
    <w:p w:rsidR="00C23FC4" w:rsidRPr="00CC30EB" w:rsidRDefault="00C23FC4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lastRenderedPageBreak/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C23FC4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C23FC4" w:rsidRPr="00FF4A98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C23FC4" w:rsidRPr="00FF4A98" w:rsidRDefault="00C23FC4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C23FC4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23FC4" w:rsidRPr="00FF4A98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předoperační vyšetření, EKG, revize a sutura rány na čele, RTG srdce a plic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 i interní vyšetření bez patologického nálezu</w:t>
            </w:r>
          </w:p>
          <w:p w:rsidR="00C23FC4" w:rsidRPr="001614D4" w:rsidRDefault="00C23FC4" w:rsidP="001614D4">
            <w:pPr>
              <w:rPr>
                <w:rFonts w:ascii="Arial" w:hAnsi="Arial" w:cs="Arial"/>
                <w:sz w:val="24"/>
                <w:szCs w:val="24"/>
              </w:rPr>
            </w:pPr>
          </w:p>
          <w:p w:rsidR="00C23FC4" w:rsidRDefault="00C23FC4" w:rsidP="001614D4">
            <w:pPr>
              <w:rPr>
                <w:rFonts w:ascii="Arial" w:hAnsi="Arial" w:cs="Arial"/>
                <w:sz w:val="24"/>
                <w:szCs w:val="24"/>
              </w:rPr>
            </w:pPr>
          </w:p>
          <w:p w:rsidR="00C23FC4" w:rsidRPr="001614D4" w:rsidRDefault="00C23FC4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RTG bez patologického nálezu</w:t>
            </w:r>
          </w:p>
        </w:tc>
      </w:tr>
      <w:tr w:rsidR="00C23FC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23FC4" w:rsidRPr="00FF4A98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C23FC4" w:rsidRPr="00CC30EB" w:rsidRDefault="00C23FC4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C23FC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23FC4" w:rsidRDefault="00C1772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KO+</w:t>
            </w:r>
            <w:r w:rsidR="00C23FC4">
              <w:rPr>
                <w:rFonts w:ascii="Arial" w:hAnsi="Arial" w:cs="Arial"/>
                <w:b/>
                <w:sz w:val="24"/>
                <w:szCs w:val="24"/>
              </w:rPr>
              <w:t>diff., biochemie</w:t>
            </w:r>
          </w:p>
          <w:p w:rsidR="00C23FC4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3FC4" w:rsidRPr="00FF4A98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APTT, INR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Biochemie – normální nález, koagulace v normě, leuko 20,4 – jinak vše v normě</w:t>
            </w:r>
          </w:p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APTT 25,60; INR 1,02</w:t>
            </w:r>
          </w:p>
        </w:tc>
      </w:tr>
    </w:tbl>
    <w:p w:rsidR="00C23FC4" w:rsidRDefault="00C23FC4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C23FC4" w:rsidRPr="00CC30EB" w:rsidRDefault="00C23FC4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C23FC4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Pr="00FF4A98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Pr="00FF4A98" w:rsidRDefault="00C23FC4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FC4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Pr="000A0215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13ML-1 (strava větších dětí, mletá)</w:t>
            </w:r>
          </w:p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před výkonem nic per os</w:t>
            </w:r>
          </w:p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 den výkonu po 15:30 hod. tekutiny</w:t>
            </w:r>
          </w:p>
          <w:p w:rsidR="00C23FC4" w:rsidRDefault="00C23FC4" w:rsidP="00371D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den po výkonu 1 kašovitá</w:t>
            </w:r>
          </w:p>
          <w:p w:rsidR="00C23FC4" w:rsidRDefault="00C23FC4" w:rsidP="00371D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následující dny 13ML-1</w:t>
            </w:r>
          </w:p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FC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Pr="000A0215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před výkonem a v den výkonu klid na lůžku, </w:t>
            </w:r>
          </w:p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 pooperační den volný pohyb po oddělení</w:t>
            </w:r>
          </w:p>
        </w:tc>
      </w:tr>
      <w:tr w:rsidR="00C23FC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Pr="000A0215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FC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Pr="000A0215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FC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Pr="000A0215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Novalgin 500 mg tbl. p. o. (14-22-06)</w:t>
            </w:r>
          </w:p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Fenofix 200 mg tbl. p. o. (1-0-0)</w:t>
            </w:r>
          </w:p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Milurit  100 mg tbl. p. o. (1-0-0)</w:t>
            </w:r>
          </w:p>
        </w:tc>
      </w:tr>
      <w:tr w:rsidR="00C23FC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Pr="000A0215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Amoksiklav 1,2 g inj. i. v. do 100 ml FR na 20 min</w:t>
            </w:r>
            <w:r w:rsidR="00C1772E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(14-22-06)</w:t>
            </w:r>
          </w:p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Dexamed 2 mg inj. i. v. (6-18)</w:t>
            </w:r>
          </w:p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Dicynone 500 mg inj. i. v. (16-22-06) zítra ex</w:t>
            </w:r>
          </w:p>
        </w:tc>
      </w:tr>
      <w:tr w:rsidR="00C23FC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Pr="00FF4A98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96552A">
              <w:rPr>
                <w:rFonts w:ascii="Arial" w:hAnsi="Arial" w:cs="Arial"/>
                <w:sz w:val="24"/>
                <w:szCs w:val="24"/>
                <w:u w:val="single"/>
              </w:rPr>
              <w:t>Z dokumentace:</w:t>
            </w:r>
            <w:r>
              <w:rPr>
                <w:rFonts w:ascii="Arial" w:hAnsi="Arial" w:cs="Arial"/>
                <w:sz w:val="24"/>
                <w:szCs w:val="24"/>
              </w:rPr>
              <w:t xml:space="preserve"> operační výkon v celkové anestézii – těžce subluxované parodontózní zuby (31,41,42) extrahovány, repozice roztříštěné střední etáže skeletu typu LeFort II oboustranně, fixace 4 dlahami, odsátí hemosinu vpravo, toaleta ran, sutura Glycolon 4/0, provedena manuální repozice franguovaných nosních kůstek a zavedení tamponád do obou nosních vchodů, výkon bez komplikací.</w:t>
            </w:r>
          </w:p>
        </w:tc>
      </w:tr>
      <w:tr w:rsidR="00C23FC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Pr="00FF4A98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oboustranná nosní tamponáda dnes ex</w:t>
            </w:r>
          </w:p>
        </w:tc>
      </w:tr>
      <w:tr w:rsidR="00C23FC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23FC4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péče o PŽK</w:t>
            </w:r>
          </w:p>
        </w:tc>
      </w:tr>
      <w:tr w:rsidR="00C23FC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23FC4" w:rsidRPr="00FF4A98" w:rsidRDefault="00C23FC4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Ostatní ordinace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zvýšená poloha hlavy</w:t>
            </w:r>
          </w:p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zvýšená hygiena dutiny ústní</w:t>
            </w:r>
          </w:p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ledování obou tváří</w:t>
            </w:r>
          </w:p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výplachy úst heřmánkem</w:t>
            </w:r>
          </w:p>
          <w:p w:rsidR="00C23FC4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nesmrkat</w:t>
            </w:r>
          </w:p>
          <w:p w:rsidR="00C23FC4" w:rsidRPr="00FF4A98" w:rsidRDefault="00C23FC4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OPG RTG – Watersova projekce</w:t>
            </w:r>
          </w:p>
        </w:tc>
      </w:tr>
    </w:tbl>
    <w:p w:rsidR="00C23FC4" w:rsidRDefault="00C23FC4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C23FC4" w:rsidRPr="00FF4A98" w:rsidRDefault="00C23FC4" w:rsidP="0076292F">
      <w:pPr>
        <w:pStyle w:val="Nadpis1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>Zhodnocení pacienta dle modelu GORDON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C23FC4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3FC4" w:rsidRPr="00FF4A98" w:rsidRDefault="00C23FC4" w:rsidP="00EA02D4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FC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3FC4" w:rsidRPr="00FF4A98" w:rsidRDefault="00C23FC4" w:rsidP="00EA02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FC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3FC4" w:rsidRPr="00FF4A98" w:rsidRDefault="00C23FC4" w:rsidP="00EA02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FC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3FC4" w:rsidRPr="00FF4A98" w:rsidRDefault="00C23FC4" w:rsidP="00EA02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FC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3FC4" w:rsidRPr="00FF4A98" w:rsidRDefault="00C23FC4" w:rsidP="00EA02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FC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3FC4" w:rsidRPr="00FF4A98" w:rsidRDefault="00C23FC4" w:rsidP="00EA02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FC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3FC4" w:rsidRPr="00FF4A98" w:rsidRDefault="00C23FC4" w:rsidP="00EA02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FC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3FC4" w:rsidRPr="00FF4A98" w:rsidRDefault="00C23FC4" w:rsidP="00EA02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FC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3FC4" w:rsidRPr="00FF4A98" w:rsidRDefault="00C23FC4" w:rsidP="00EA02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FC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3FC4" w:rsidRPr="00FF4A98" w:rsidRDefault="00C23FC4" w:rsidP="00EA02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FC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3FC4" w:rsidRPr="00FF4A98" w:rsidRDefault="00C23FC4" w:rsidP="00EA02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FC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3FC4" w:rsidRPr="00FF4A98" w:rsidRDefault="00C23FC4" w:rsidP="00EA02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FC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23FC4" w:rsidRPr="00F00C96" w:rsidRDefault="00C23FC4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3FC4" w:rsidRPr="00FF4A98" w:rsidRDefault="00C23FC4" w:rsidP="00EA02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23FC4" w:rsidRDefault="00C23FC4" w:rsidP="00023FA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23FC4" w:rsidRDefault="00C23FC4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C23FC4" w:rsidRPr="00991416" w:rsidRDefault="00C23FC4" w:rsidP="00991416">
      <w:pPr>
        <w:numPr>
          <w:ilvl w:val="0"/>
          <w:numId w:val="12"/>
        </w:numPr>
        <w:tabs>
          <w:tab w:val="clear" w:pos="750"/>
        </w:tabs>
        <w:spacing w:line="360" w:lineRule="auto"/>
        <w:ind w:left="390" w:hanging="39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91416">
        <w:rPr>
          <w:rFonts w:ascii="Arial" w:hAnsi="Arial" w:cs="Arial"/>
          <w:b/>
          <w:color w:val="0000FF"/>
          <w:sz w:val="24"/>
          <w:szCs w:val="24"/>
        </w:rPr>
        <w:t>Stanovte ošetřovatelské problémy 61letého pacienta s frakturou zygomaticomaxillárního komplexu 4. den hospitalizace v rámci holistické filosofie.</w:t>
      </w:r>
    </w:p>
    <w:p w:rsidR="00C23FC4" w:rsidRDefault="00C23FC4" w:rsidP="00991416">
      <w:pPr>
        <w:pStyle w:val="ListParagraph"/>
        <w:numPr>
          <w:ilvl w:val="0"/>
          <w:numId w:val="12"/>
        </w:numPr>
        <w:tabs>
          <w:tab w:val="clear" w:pos="750"/>
        </w:tabs>
        <w:spacing w:line="360" w:lineRule="auto"/>
        <w:ind w:left="390" w:hanging="39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Výše prezentovaná data utřiďte a využijte k  prvnímu kroku ošetřovatelského procesu - koncepční model M. Gordon.</w:t>
      </w:r>
    </w:p>
    <w:p w:rsidR="00C23FC4" w:rsidRPr="00023FAD" w:rsidRDefault="00C23FC4" w:rsidP="00991416">
      <w:pPr>
        <w:pStyle w:val="ListParagraph"/>
        <w:numPr>
          <w:ilvl w:val="0"/>
          <w:numId w:val="12"/>
        </w:numPr>
        <w:tabs>
          <w:tab w:val="clear" w:pos="750"/>
        </w:tabs>
        <w:spacing w:line="360" w:lineRule="auto"/>
        <w:ind w:left="390" w:hanging="39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Stanovte ošetřovatelské diagnózy dle NANDA I</w:t>
      </w:r>
      <w:r>
        <w:rPr>
          <w:rFonts w:ascii="Arial" w:hAnsi="Arial" w:cs="Arial"/>
          <w:b/>
          <w:color w:val="0000FF"/>
          <w:sz w:val="24"/>
          <w:szCs w:val="24"/>
        </w:rPr>
        <w:t>nternational 2012-2014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Taxonomie II a uspořádejte je podle priorit</w:t>
      </w:r>
      <w:r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C23FC4" w:rsidRPr="00023FAD" w:rsidRDefault="00C23FC4" w:rsidP="00991416">
      <w:pPr>
        <w:pStyle w:val="ListParagraph"/>
        <w:numPr>
          <w:ilvl w:val="0"/>
          <w:numId w:val="12"/>
        </w:numPr>
        <w:tabs>
          <w:tab w:val="clear" w:pos="750"/>
        </w:tabs>
        <w:spacing w:line="360" w:lineRule="auto"/>
        <w:ind w:left="390" w:hanging="39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C23FC4" w:rsidRDefault="00C23FC4" w:rsidP="00991416">
      <w:pPr>
        <w:pStyle w:val="ListParagraph"/>
        <w:numPr>
          <w:ilvl w:val="0"/>
          <w:numId w:val="12"/>
        </w:numPr>
        <w:tabs>
          <w:tab w:val="clear" w:pos="750"/>
        </w:tabs>
        <w:spacing w:line="360" w:lineRule="auto"/>
        <w:ind w:left="390" w:hanging="39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Vyberte jednu ze stanovených diagnóz a navrhněte u ní cíle,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a intervence.</w:t>
      </w:r>
    </w:p>
    <w:p w:rsidR="00C23FC4" w:rsidRDefault="00C23FC4" w:rsidP="00991416">
      <w:pPr>
        <w:pStyle w:val="ListParagraph"/>
        <w:numPr>
          <w:ilvl w:val="0"/>
          <w:numId w:val="12"/>
        </w:numPr>
        <w:tabs>
          <w:tab w:val="clear" w:pos="750"/>
        </w:tabs>
        <w:spacing w:line="360" w:lineRule="auto"/>
        <w:ind w:left="390" w:hanging="39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pomůcky si připravíte k lokální péči o rány v oblasti obličeje?</w:t>
      </w:r>
    </w:p>
    <w:p w:rsidR="00C23FC4" w:rsidRDefault="00C23FC4" w:rsidP="00991416">
      <w:pPr>
        <w:pStyle w:val="ListParagraph"/>
        <w:numPr>
          <w:ilvl w:val="0"/>
          <w:numId w:val="12"/>
        </w:numPr>
        <w:tabs>
          <w:tab w:val="clear" w:pos="750"/>
        </w:tabs>
        <w:spacing w:line="360" w:lineRule="auto"/>
        <w:ind w:left="390" w:hanging="39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 čem spočívá a jak budete postupovat při zvýšené hygieně dutiny ústní?</w:t>
      </w:r>
    </w:p>
    <w:p w:rsidR="00C23FC4" w:rsidRDefault="00C23FC4" w:rsidP="00991416">
      <w:pPr>
        <w:pStyle w:val="ListParagraph"/>
        <w:numPr>
          <w:ilvl w:val="0"/>
          <w:numId w:val="12"/>
        </w:numPr>
        <w:tabs>
          <w:tab w:val="clear" w:pos="750"/>
        </w:tabs>
        <w:spacing w:line="360" w:lineRule="auto"/>
        <w:ind w:left="390" w:hanging="39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Popište péči o PŽK.</w:t>
      </w:r>
    </w:p>
    <w:p w:rsidR="00C23FC4" w:rsidRDefault="00C23FC4" w:rsidP="00991416">
      <w:pPr>
        <w:pStyle w:val="ListParagraph"/>
        <w:numPr>
          <w:ilvl w:val="0"/>
          <w:numId w:val="12"/>
        </w:numPr>
        <w:tabs>
          <w:tab w:val="clear" w:pos="750"/>
        </w:tabs>
        <w:spacing w:line="360" w:lineRule="auto"/>
        <w:ind w:left="390" w:hanging="39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C23FC4" w:rsidRDefault="00C23FC4" w:rsidP="00991416">
      <w:pPr>
        <w:pStyle w:val="ListParagraph"/>
        <w:numPr>
          <w:ilvl w:val="0"/>
          <w:numId w:val="12"/>
        </w:numPr>
        <w:tabs>
          <w:tab w:val="clear" w:pos="750"/>
        </w:tabs>
        <w:spacing w:line="360" w:lineRule="auto"/>
        <w:ind w:left="390" w:hanging="39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K výsledkům laboratorních vyšetření zapište, zda jsou v normě či patologické.</w:t>
      </w:r>
    </w:p>
    <w:p w:rsidR="00C23FC4" w:rsidRDefault="00C23FC4" w:rsidP="00991416">
      <w:pPr>
        <w:pStyle w:val="ListParagraph"/>
        <w:numPr>
          <w:ilvl w:val="0"/>
          <w:numId w:val="12"/>
        </w:numPr>
        <w:tabs>
          <w:tab w:val="clear" w:pos="750"/>
        </w:tabs>
        <w:spacing w:line="360" w:lineRule="auto"/>
        <w:ind w:left="390" w:hanging="39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 xml:space="preserve">U medikamentózní léčby určete skupinu léku a znalosti sestry, které potřebuje znát k bezpečnému podání léku. </w:t>
      </w:r>
    </w:p>
    <w:p w:rsidR="00C23FC4" w:rsidRDefault="00C23FC4" w:rsidP="00991416">
      <w:pPr>
        <w:pStyle w:val="ListParagraph"/>
        <w:numPr>
          <w:ilvl w:val="0"/>
          <w:numId w:val="12"/>
        </w:numPr>
        <w:tabs>
          <w:tab w:val="clear" w:pos="750"/>
        </w:tabs>
        <w:spacing w:line="360" w:lineRule="auto"/>
        <w:ind w:left="390" w:hanging="39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C23FC4" w:rsidRDefault="00C23FC4" w:rsidP="00991416">
      <w:pPr>
        <w:pStyle w:val="ListParagraph"/>
        <w:numPr>
          <w:ilvl w:val="0"/>
          <w:numId w:val="12"/>
        </w:numPr>
        <w:tabs>
          <w:tab w:val="clear" w:pos="750"/>
        </w:tabs>
        <w:spacing w:line="360" w:lineRule="auto"/>
        <w:ind w:left="390" w:hanging="39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C23FC4" w:rsidRDefault="00C23FC4" w:rsidP="00991416">
      <w:pPr>
        <w:pStyle w:val="ListParagraph"/>
        <w:numPr>
          <w:ilvl w:val="0"/>
          <w:numId w:val="12"/>
        </w:numPr>
        <w:tabs>
          <w:tab w:val="clear" w:pos="750"/>
        </w:tabs>
        <w:spacing w:line="360" w:lineRule="auto"/>
        <w:ind w:left="390" w:hanging="39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C23FC4" w:rsidRDefault="00C23FC4" w:rsidP="00991416">
      <w:pPr>
        <w:pStyle w:val="ListParagraph"/>
        <w:numPr>
          <w:ilvl w:val="0"/>
          <w:numId w:val="12"/>
        </w:numPr>
        <w:tabs>
          <w:tab w:val="clear" w:pos="750"/>
        </w:tabs>
        <w:spacing w:line="360" w:lineRule="auto"/>
        <w:ind w:left="390" w:hanging="39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C23FC4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8D1" w:rsidRDefault="000268D1" w:rsidP="00A5128C">
      <w:r>
        <w:separator/>
      </w:r>
    </w:p>
  </w:endnote>
  <w:endnote w:type="continuationSeparator" w:id="0">
    <w:p w:rsidR="000268D1" w:rsidRDefault="000268D1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8D1" w:rsidRDefault="000268D1" w:rsidP="00A5128C">
      <w:r>
        <w:separator/>
      </w:r>
    </w:p>
  </w:footnote>
  <w:footnote w:type="continuationSeparator" w:id="0">
    <w:p w:rsidR="000268D1" w:rsidRDefault="000268D1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FC4" w:rsidRDefault="00C23FC4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C23FC4" w:rsidRPr="00A5128C" w:rsidRDefault="00C23FC4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1F008C"/>
    <w:multiLevelType w:val="hybridMultilevel"/>
    <w:tmpl w:val="D972938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268D1"/>
    <w:rsid w:val="00056460"/>
    <w:rsid w:val="00062618"/>
    <w:rsid w:val="000767D1"/>
    <w:rsid w:val="00081498"/>
    <w:rsid w:val="000A0215"/>
    <w:rsid w:val="000C0090"/>
    <w:rsid w:val="000D060C"/>
    <w:rsid w:val="00111CDC"/>
    <w:rsid w:val="001123B0"/>
    <w:rsid w:val="001166C5"/>
    <w:rsid w:val="00122060"/>
    <w:rsid w:val="0014470C"/>
    <w:rsid w:val="001614D4"/>
    <w:rsid w:val="00195574"/>
    <w:rsid w:val="001C50A5"/>
    <w:rsid w:val="002370F2"/>
    <w:rsid w:val="002428F9"/>
    <w:rsid w:val="00252F43"/>
    <w:rsid w:val="00262E90"/>
    <w:rsid w:val="00271C43"/>
    <w:rsid w:val="002A16BA"/>
    <w:rsid w:val="002A2F0A"/>
    <w:rsid w:val="002C0DBE"/>
    <w:rsid w:val="002C2745"/>
    <w:rsid w:val="002E328B"/>
    <w:rsid w:val="002E6A5B"/>
    <w:rsid w:val="002F00F1"/>
    <w:rsid w:val="002F79A0"/>
    <w:rsid w:val="00305598"/>
    <w:rsid w:val="00341882"/>
    <w:rsid w:val="003508AE"/>
    <w:rsid w:val="00364124"/>
    <w:rsid w:val="00371D95"/>
    <w:rsid w:val="00374A2D"/>
    <w:rsid w:val="00375CAF"/>
    <w:rsid w:val="00384220"/>
    <w:rsid w:val="00397E02"/>
    <w:rsid w:val="003D61AA"/>
    <w:rsid w:val="003D648B"/>
    <w:rsid w:val="0043475F"/>
    <w:rsid w:val="00437C90"/>
    <w:rsid w:val="00440C4B"/>
    <w:rsid w:val="00463C56"/>
    <w:rsid w:val="0048709D"/>
    <w:rsid w:val="004A1354"/>
    <w:rsid w:val="004B5477"/>
    <w:rsid w:val="004D1B23"/>
    <w:rsid w:val="004E4D49"/>
    <w:rsid w:val="00507D32"/>
    <w:rsid w:val="00553028"/>
    <w:rsid w:val="00557B5D"/>
    <w:rsid w:val="005604A7"/>
    <w:rsid w:val="00572FCD"/>
    <w:rsid w:val="005C1014"/>
    <w:rsid w:val="005C4A55"/>
    <w:rsid w:val="005D5C15"/>
    <w:rsid w:val="005E0231"/>
    <w:rsid w:val="006447DE"/>
    <w:rsid w:val="0064647B"/>
    <w:rsid w:val="00683F78"/>
    <w:rsid w:val="00686E9F"/>
    <w:rsid w:val="0072697B"/>
    <w:rsid w:val="007529F2"/>
    <w:rsid w:val="00754F2C"/>
    <w:rsid w:val="00756773"/>
    <w:rsid w:val="0076292F"/>
    <w:rsid w:val="00763385"/>
    <w:rsid w:val="00782BA0"/>
    <w:rsid w:val="0078473A"/>
    <w:rsid w:val="0079140A"/>
    <w:rsid w:val="007A76AC"/>
    <w:rsid w:val="007B0F11"/>
    <w:rsid w:val="007B50B5"/>
    <w:rsid w:val="007C6FEA"/>
    <w:rsid w:val="007E5CDC"/>
    <w:rsid w:val="00814515"/>
    <w:rsid w:val="008476AC"/>
    <w:rsid w:val="008608F2"/>
    <w:rsid w:val="00866B6D"/>
    <w:rsid w:val="00877CBF"/>
    <w:rsid w:val="008D0505"/>
    <w:rsid w:val="008E5600"/>
    <w:rsid w:val="008E5A8B"/>
    <w:rsid w:val="00903ABE"/>
    <w:rsid w:val="00905A95"/>
    <w:rsid w:val="00911A59"/>
    <w:rsid w:val="009414A9"/>
    <w:rsid w:val="009425D8"/>
    <w:rsid w:val="0094609B"/>
    <w:rsid w:val="00957A80"/>
    <w:rsid w:val="0096552A"/>
    <w:rsid w:val="009677D3"/>
    <w:rsid w:val="00985327"/>
    <w:rsid w:val="00991416"/>
    <w:rsid w:val="00995EBE"/>
    <w:rsid w:val="009C10F4"/>
    <w:rsid w:val="009E1487"/>
    <w:rsid w:val="00A1195D"/>
    <w:rsid w:val="00A422E3"/>
    <w:rsid w:val="00A5128C"/>
    <w:rsid w:val="00A53D86"/>
    <w:rsid w:val="00A62067"/>
    <w:rsid w:val="00A63B80"/>
    <w:rsid w:val="00A93B51"/>
    <w:rsid w:val="00AB051F"/>
    <w:rsid w:val="00AB2287"/>
    <w:rsid w:val="00AC59FE"/>
    <w:rsid w:val="00AD2585"/>
    <w:rsid w:val="00B052AB"/>
    <w:rsid w:val="00B3000B"/>
    <w:rsid w:val="00B76666"/>
    <w:rsid w:val="00BC299D"/>
    <w:rsid w:val="00BE65E7"/>
    <w:rsid w:val="00C1772E"/>
    <w:rsid w:val="00C21BCB"/>
    <w:rsid w:val="00C23FC4"/>
    <w:rsid w:val="00C30162"/>
    <w:rsid w:val="00CC30EB"/>
    <w:rsid w:val="00CD1414"/>
    <w:rsid w:val="00D130F5"/>
    <w:rsid w:val="00D36A79"/>
    <w:rsid w:val="00D67AB0"/>
    <w:rsid w:val="00DF4B36"/>
    <w:rsid w:val="00E1611A"/>
    <w:rsid w:val="00E32427"/>
    <w:rsid w:val="00E36EF9"/>
    <w:rsid w:val="00E60984"/>
    <w:rsid w:val="00E82BE2"/>
    <w:rsid w:val="00EA02D4"/>
    <w:rsid w:val="00EA5FDA"/>
    <w:rsid w:val="00EB73B7"/>
    <w:rsid w:val="00EC46CD"/>
    <w:rsid w:val="00F00C96"/>
    <w:rsid w:val="00F053FD"/>
    <w:rsid w:val="00F141CF"/>
    <w:rsid w:val="00F50A60"/>
    <w:rsid w:val="00F60A8C"/>
    <w:rsid w:val="00F675D2"/>
    <w:rsid w:val="00F750D4"/>
    <w:rsid w:val="00FB6A5D"/>
    <w:rsid w:val="00FD0A5E"/>
    <w:rsid w:val="00FD5B63"/>
    <w:rsid w:val="00FE0D35"/>
    <w:rsid w:val="00FE7CAB"/>
    <w:rsid w:val="00FF18E0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F67392-37F3-45F0-8586-F3155CA3FB59}"/>
</file>

<file path=customXml/itemProps2.xml><?xml version="1.0" encoding="utf-8"?>
<ds:datastoreItem xmlns:ds="http://schemas.openxmlformats.org/officeDocument/2006/customXml" ds:itemID="{2BCDCDEF-337F-415A-A347-8D2600195E79}"/>
</file>

<file path=customXml/itemProps3.xml><?xml version="1.0" encoding="utf-8"?>
<ds:datastoreItem xmlns:ds="http://schemas.openxmlformats.org/officeDocument/2006/customXml" ds:itemID="{E9DE20C3-6E1A-4D9B-927E-193397A1AE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915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před plánovanou operací fraktury zygomaticomaxillárního komplexu (revize, repozice, fixace)</vt:lpstr>
    </vt:vector>
  </TitlesOfParts>
  <Company>HP</Company>
  <LinksUpToDate>false</LinksUpToDate>
  <CharactersWithSpaces>6303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před plánovanou operací fraktury zygomaticomaxillárního komplexu (revize, repozice, fixace)</dc:title>
  <dc:creator>VSZDRAV</dc:creator>
  <cp:lastModifiedBy>Němcová Jitka</cp:lastModifiedBy>
  <cp:revision>2</cp:revision>
  <cp:lastPrinted>2014-06-26T10:32:00Z</cp:lastPrinted>
  <dcterms:created xsi:type="dcterms:W3CDTF">2015-04-14T09:29:00Z</dcterms:created>
  <dcterms:modified xsi:type="dcterms:W3CDTF">2015-04-14T09:29:00Z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