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ACA" w:rsidRPr="001D14DA" w:rsidRDefault="002B3ACA" w:rsidP="002B3ACA">
      <w:pPr>
        <w:spacing w:line="360" w:lineRule="auto"/>
        <w:rPr>
          <w:b/>
        </w:rPr>
      </w:pPr>
      <w:proofErr w:type="spellStart"/>
      <w:r w:rsidRPr="00ED7154">
        <w:rPr>
          <w:highlight w:val="green"/>
          <w:u w:val="single"/>
        </w:rPr>
        <w:t>Nitromint</w:t>
      </w:r>
      <w:proofErr w:type="spellEnd"/>
      <w:r w:rsidRPr="00ED7154">
        <w:rPr>
          <w:highlight w:val="green"/>
          <w:u w:val="single"/>
        </w:rPr>
        <w:t xml:space="preserve"> </w:t>
      </w:r>
      <w:proofErr w:type="gramStart"/>
      <w:r w:rsidRPr="00ED7154">
        <w:rPr>
          <w:highlight w:val="green"/>
          <w:u w:val="single"/>
        </w:rPr>
        <w:t>aerosol</w:t>
      </w:r>
      <w:r>
        <w:rPr>
          <w:b/>
        </w:rPr>
        <w:t xml:space="preserve"> - </w:t>
      </w:r>
      <w:r>
        <w:rPr>
          <w:u w:val="single"/>
        </w:rPr>
        <w:t>aplikace</w:t>
      </w:r>
      <w:proofErr w:type="gramEnd"/>
      <w:r>
        <w:rPr>
          <w:u w:val="single"/>
        </w:rPr>
        <w:t xml:space="preserve"> pod jazyk (sub lingvální)</w:t>
      </w:r>
      <w:r>
        <w:rPr>
          <w:b/>
        </w:rPr>
        <w:br/>
        <w:t>(</w:t>
      </w:r>
      <w:proofErr w:type="spellStart"/>
      <w:r w:rsidRPr="001D14DA">
        <w:t>glyceroli</w:t>
      </w:r>
      <w:proofErr w:type="spellEnd"/>
      <w:r w:rsidRPr="001D14DA">
        <w:t xml:space="preserve"> </w:t>
      </w:r>
      <w:proofErr w:type="spellStart"/>
      <w:r w:rsidRPr="001D14DA">
        <w:t>trinitratis</w:t>
      </w:r>
      <w:proofErr w:type="spellEnd"/>
      <w:r w:rsidRPr="001D14DA">
        <w:t xml:space="preserve"> </w:t>
      </w:r>
      <w:smartTag w:uri="urn:schemas-microsoft-com:office:smarttags" w:element="metricconverter">
        <w:smartTagPr>
          <w:attr w:name="ProductID" w:val="8 g"/>
        </w:smartTagPr>
        <w:r w:rsidRPr="001D14DA">
          <w:t>8 g</w:t>
        </w:r>
      </w:smartTag>
      <w:r w:rsidRPr="001D14DA">
        <w:t xml:space="preserve"> v jedné nádobce – 0,4 mg</w:t>
      </w:r>
      <w:r>
        <w:rPr>
          <w:b/>
        </w:rPr>
        <w:t xml:space="preserve"> </w:t>
      </w:r>
      <w:proofErr w:type="spellStart"/>
      <w:r w:rsidRPr="001D14DA">
        <w:t>glyceroli</w:t>
      </w:r>
      <w:proofErr w:type="spellEnd"/>
      <w:r w:rsidRPr="001D14DA">
        <w:t xml:space="preserve"> </w:t>
      </w:r>
      <w:proofErr w:type="spellStart"/>
      <w:r w:rsidRPr="001D14DA">
        <w:t>trinitras</w:t>
      </w:r>
      <w:proofErr w:type="spellEnd"/>
      <w:r w:rsidRPr="001D14DA">
        <w:t xml:space="preserve"> v jedné dávce</w:t>
      </w:r>
      <w:r>
        <w:t>)</w:t>
      </w:r>
      <w:r w:rsidRPr="001D14DA">
        <w:t>.</w:t>
      </w:r>
    </w:p>
    <w:p w:rsidR="002B3ACA" w:rsidRDefault="002B3ACA" w:rsidP="002B3ACA">
      <w:pPr>
        <w:spacing w:line="360" w:lineRule="auto"/>
        <w:rPr>
          <w:b/>
        </w:rPr>
      </w:pPr>
    </w:p>
    <w:p w:rsidR="002B3ACA" w:rsidRDefault="002B3ACA" w:rsidP="002B3ACA">
      <w:pPr>
        <w:spacing w:line="360" w:lineRule="auto"/>
        <w:jc w:val="both"/>
      </w:pPr>
      <w:r w:rsidRPr="001D14DA">
        <w:t>Nitroglycerin je relaxans hladkého svalstva. Působením na hladkou svalovinu cév rozšiřuje nitroglycerin periferní žíly a tepny, jakožto i koronární arterie. Zlepšuje koronární oběh, okysličení ischemického myokardu, srdeční vý</w:t>
      </w:r>
      <w:r>
        <w:t>kon a toleranci fyzické zátěže</w:t>
      </w:r>
      <w:r w:rsidRPr="001D14DA">
        <w:t>.</w:t>
      </w:r>
      <w:r>
        <w:t xml:space="preserve"> </w:t>
      </w:r>
      <w:r w:rsidRPr="001D14DA">
        <w:t xml:space="preserve">Při aplikaci na sliznici úst je rychle absorbován a účinkuje během jedné minuty. </w:t>
      </w:r>
    </w:p>
    <w:p w:rsidR="002B3ACA" w:rsidRDefault="002B3ACA" w:rsidP="002B3ACA">
      <w:pPr>
        <w:spacing w:line="360" w:lineRule="auto"/>
        <w:jc w:val="both"/>
      </w:pPr>
      <w:r>
        <w:rPr>
          <w:noProof/>
        </w:rPr>
        <w:drawing>
          <wp:anchor distT="0" distB="0" distL="114300" distR="114300" simplePos="0" relativeHeight="251659264" behindDoc="1" locked="0" layoutInCell="1" allowOverlap="1">
            <wp:simplePos x="0" y="0"/>
            <wp:positionH relativeFrom="column">
              <wp:posOffset>-114300</wp:posOffset>
            </wp:positionH>
            <wp:positionV relativeFrom="paragraph">
              <wp:posOffset>-579120</wp:posOffset>
            </wp:positionV>
            <wp:extent cx="2190750" cy="2524125"/>
            <wp:effectExtent l="0" t="0" r="0" b="9525"/>
            <wp:wrapTight wrapText="bothSides">
              <wp:wrapPolygon edited="0">
                <wp:start x="0" y="0"/>
                <wp:lineTo x="0" y="21518"/>
                <wp:lineTo x="21412" y="21518"/>
                <wp:lineTo x="2141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3ACA" w:rsidRDefault="002B3ACA" w:rsidP="002B3ACA">
      <w:pPr>
        <w:spacing w:before="120" w:line="360" w:lineRule="auto"/>
        <w:jc w:val="both"/>
      </w:pPr>
      <w:r w:rsidRPr="00CE3FC6">
        <w:rPr>
          <w:b/>
        </w:rPr>
        <w:t>Mezi terapeutické indikace</w:t>
      </w:r>
      <w:r w:rsidRPr="00CE3FC6">
        <w:t xml:space="preserve"> patří profylaxe záchvatů anginy pectoris před fyzickou námahou a podpůrná léčba akutního levostranného srdečního selhání (astma </w:t>
      </w:r>
      <w:proofErr w:type="spellStart"/>
      <w:r w:rsidRPr="00CE3FC6">
        <w:t>cardiale</w:t>
      </w:r>
      <w:proofErr w:type="spellEnd"/>
      <w:r w:rsidRPr="00CE3FC6">
        <w:t xml:space="preserve">) nebo snížení plnícího tlaku při akutním infarktu myokardu. Při aplikaci je třeba vstříknout </w:t>
      </w:r>
      <w:r w:rsidRPr="00CE3FC6">
        <w:rPr>
          <w:b/>
        </w:rPr>
        <w:t>pod jazyk</w:t>
      </w:r>
      <w:r w:rsidRPr="00CE3FC6">
        <w:t xml:space="preserve"> jednu nebo dvě dávky. V případě nutnosti může být aplikováno v následujících 15 minutách ještě několik stisknutí (odměřených dávek), nejvýše však tři. Po aplikaci se může objevit přechodné</w:t>
      </w:r>
      <w:smartTag w:uri="urn:schemas-microsoft-com:office:smarttags" w:element="PersonName">
        <w:r w:rsidRPr="00CE3FC6">
          <w:t xml:space="preserve"> </w:t>
        </w:r>
      </w:smartTag>
      <w:r w:rsidRPr="00CE3FC6">
        <w:t>mírné</w:t>
      </w:r>
      <w:smartTag w:uri="urn:schemas-microsoft-com:office:smarttags" w:element="PersonName">
        <w:r w:rsidRPr="00CE3FC6">
          <w:t xml:space="preserve"> </w:t>
        </w:r>
      </w:smartTag>
      <w:r w:rsidRPr="00CE3FC6">
        <w:t>pálení</w:t>
      </w:r>
      <w:smartTag w:uri="urn:schemas-microsoft-com:office:smarttags" w:element="PersonName">
        <w:r w:rsidRPr="00CE3FC6">
          <w:t xml:space="preserve"> </w:t>
        </w:r>
      </w:smartTag>
      <w:r w:rsidRPr="00CE3FC6">
        <w:t>v ústech, pocit</w:t>
      </w:r>
      <w:smartTag w:uri="urn:schemas-microsoft-com:office:smarttags" w:element="PersonName">
        <w:r w:rsidRPr="00CE3FC6">
          <w:t xml:space="preserve"> </w:t>
        </w:r>
      </w:smartTag>
      <w:r w:rsidRPr="00CE3FC6">
        <w:t>pulzace</w:t>
      </w:r>
      <w:smartTag w:uri="urn:schemas-microsoft-com:office:smarttags" w:element="PersonName">
        <w:r w:rsidRPr="00CE3FC6">
          <w:t xml:space="preserve"> </w:t>
        </w:r>
      </w:smartTag>
      <w:r w:rsidRPr="00CE3FC6">
        <w:t>v</w:t>
      </w:r>
      <w:smartTag w:uri="urn:schemas-microsoft-com:office:smarttags" w:element="PersonName">
        <w:r w:rsidRPr="00CE3FC6">
          <w:t xml:space="preserve"> </w:t>
        </w:r>
      </w:smartTag>
      <w:r w:rsidRPr="00CE3FC6">
        <w:t>hlavě,</w:t>
      </w:r>
      <w:smartTag w:uri="urn:schemas-microsoft-com:office:smarttags" w:element="PersonName">
        <w:r w:rsidRPr="00CE3FC6">
          <w:t xml:space="preserve"> </w:t>
        </w:r>
      </w:smartTag>
      <w:r w:rsidRPr="00CE3FC6">
        <w:t>zrudnutí,</w:t>
      </w:r>
      <w:smartTag w:uri="urn:schemas-microsoft-com:office:smarttags" w:element="PersonName">
        <w:r w:rsidRPr="00CE3FC6">
          <w:t xml:space="preserve"> </w:t>
        </w:r>
      </w:smartTag>
      <w:r w:rsidRPr="00CE3FC6">
        <w:t>bolesti</w:t>
      </w:r>
      <w:smartTag w:uri="urn:schemas-microsoft-com:office:smarttags" w:element="PersonName">
        <w:r w:rsidRPr="00CE3FC6">
          <w:t xml:space="preserve"> </w:t>
        </w:r>
      </w:smartTag>
      <w:r w:rsidRPr="00CE3FC6">
        <w:t>hlavy,</w:t>
      </w:r>
      <w:smartTag w:uri="urn:schemas-microsoft-com:office:smarttags" w:element="PersonName">
        <w:r w:rsidRPr="00CE3FC6">
          <w:t xml:space="preserve"> </w:t>
        </w:r>
      </w:smartTag>
      <w:r w:rsidRPr="00CE3FC6">
        <w:t>závratě,</w:t>
      </w:r>
      <w:smartTag w:uri="urn:schemas-microsoft-com:office:smarttags" w:element="PersonName">
        <w:r w:rsidRPr="00CE3FC6">
          <w:t xml:space="preserve"> </w:t>
        </w:r>
      </w:smartTag>
      <w:r w:rsidRPr="00CE3FC6">
        <w:t>palpitace,</w:t>
      </w:r>
      <w:smartTag w:uri="urn:schemas-microsoft-com:office:smarttags" w:element="PersonName">
        <w:r w:rsidRPr="00CE3FC6">
          <w:t xml:space="preserve"> </w:t>
        </w:r>
      </w:smartTag>
      <w:r w:rsidRPr="00CE3FC6">
        <w:t>pocity</w:t>
      </w:r>
      <w:smartTag w:uri="urn:schemas-microsoft-com:office:smarttags" w:element="PersonName">
        <w:r w:rsidRPr="00CE3FC6">
          <w:t xml:space="preserve"> </w:t>
        </w:r>
      </w:smartTag>
      <w:r w:rsidRPr="00CE3FC6">
        <w:t>horka,</w:t>
      </w:r>
      <w:smartTag w:uri="urn:schemas-microsoft-com:office:smarttags" w:element="PersonName">
        <w:r w:rsidRPr="00CE3FC6">
          <w:t xml:space="preserve"> </w:t>
        </w:r>
      </w:smartTag>
      <w:r w:rsidRPr="00CE3FC6">
        <w:t>nauzea,</w:t>
      </w:r>
      <w:smartTag w:uri="urn:schemas-microsoft-com:office:smarttags" w:element="PersonName">
        <w:r w:rsidRPr="00CE3FC6">
          <w:t xml:space="preserve"> </w:t>
        </w:r>
      </w:smartTag>
      <w:r w:rsidRPr="00CE3FC6">
        <w:t>pocení.</w:t>
      </w:r>
      <w:smartTag w:uri="urn:schemas-microsoft-com:office:smarttags" w:element="PersonName">
        <w:r w:rsidRPr="00CE3FC6">
          <w:t xml:space="preserve"> </w:t>
        </w:r>
      </w:smartTag>
      <w:r w:rsidRPr="00CE3FC6">
        <w:t>V</w:t>
      </w:r>
      <w:smartTag w:uri="urn:schemas-microsoft-com:office:smarttags" w:element="PersonName">
        <w:r w:rsidRPr="00CE3FC6">
          <w:t xml:space="preserve"> </w:t>
        </w:r>
      </w:smartTag>
      <w:r w:rsidRPr="00CE3FC6">
        <w:t>ojedinělých</w:t>
      </w:r>
      <w:smartTag w:uri="urn:schemas-microsoft-com:office:smarttags" w:element="PersonName">
        <w:r w:rsidRPr="00CE3FC6">
          <w:t xml:space="preserve"> </w:t>
        </w:r>
      </w:smartTag>
      <w:r w:rsidRPr="00CE3FC6">
        <w:t>případech, kdy dojde k předávkování, se objevují synkopa</w:t>
      </w:r>
      <w:smartTag w:uri="urn:schemas-microsoft-com:office:smarttags" w:element="PersonName">
        <w:r w:rsidRPr="00CE3FC6">
          <w:t xml:space="preserve"> </w:t>
        </w:r>
      </w:smartTag>
      <w:r w:rsidRPr="00CE3FC6">
        <w:t>a</w:t>
      </w:r>
      <w:smartTag w:uri="urn:schemas-microsoft-com:office:smarttags" w:element="PersonName">
        <w:r w:rsidRPr="00CE3FC6">
          <w:t xml:space="preserve"> </w:t>
        </w:r>
      </w:smartTag>
      <w:r w:rsidRPr="00CE3FC6">
        <w:t xml:space="preserve">hypotenze.  </w:t>
      </w:r>
    </w:p>
    <w:p w:rsidR="002B3ACA" w:rsidRPr="00BC125A" w:rsidRDefault="002B3ACA" w:rsidP="002B3ACA">
      <w:pPr>
        <w:spacing w:before="120" w:line="360" w:lineRule="auto"/>
        <w:jc w:val="both"/>
      </w:pPr>
      <w:r w:rsidRPr="00BC125A">
        <w:rPr>
          <w:b/>
        </w:rPr>
        <w:t>Mezi kontraindikace</w:t>
      </w:r>
      <w:r w:rsidRPr="00BC125A">
        <w:t xml:space="preserve"> patří přecitlivělost na organické nitráty, glaukom s úzkým úhlem, těžká hypotenze, zvýšený intrakraniální tlak způsobený krvácením do mozku a úrazem a anémie.</w:t>
      </w:r>
    </w:p>
    <w:p w:rsidR="002B3ACA" w:rsidRDefault="002B3ACA" w:rsidP="002B3ACA">
      <w:pPr>
        <w:spacing w:line="360" w:lineRule="auto"/>
        <w:jc w:val="both"/>
      </w:pPr>
      <w:r w:rsidRPr="00BC125A">
        <w:rPr>
          <w:b/>
        </w:rPr>
        <w:t>Lék je třeba podávat se zvýšenou opatrností</w:t>
      </w:r>
      <w:r w:rsidRPr="00BC125A">
        <w:t xml:space="preserve"> v kombinaci s antihypertenzivy, neuroleptiky, </w:t>
      </w:r>
      <w:proofErr w:type="spellStart"/>
      <w:r w:rsidRPr="00BC125A">
        <w:t>tricyklickými</w:t>
      </w:r>
      <w:proofErr w:type="spellEnd"/>
      <w:r w:rsidRPr="00BC125A">
        <w:t xml:space="preserve"> antidepresivy </w:t>
      </w:r>
      <w:r>
        <w:t xml:space="preserve">a alkoholem </w:t>
      </w:r>
      <w:r w:rsidRPr="00BC125A">
        <w:t xml:space="preserve">(nebezpečí zesílení </w:t>
      </w:r>
      <w:proofErr w:type="spellStart"/>
      <w:r w:rsidRPr="00BC125A">
        <w:t>hypotenzivního</w:t>
      </w:r>
      <w:proofErr w:type="spellEnd"/>
      <w:r w:rsidRPr="00BC125A">
        <w:t xml:space="preserve"> účinku!).</w:t>
      </w:r>
    </w:p>
    <w:p w:rsidR="001D6A5D" w:rsidRDefault="001D6A5D">
      <w:pPr>
        <w:spacing w:after="160" w:line="259" w:lineRule="auto"/>
      </w:pPr>
      <w:r>
        <w:br w:type="page"/>
      </w:r>
    </w:p>
    <w:p w:rsidR="001D6A5D" w:rsidRDefault="001D6A5D" w:rsidP="002B3ACA">
      <w:pPr>
        <w:spacing w:line="360" w:lineRule="auto"/>
        <w:jc w:val="both"/>
      </w:pPr>
    </w:p>
    <w:p w:rsidR="008F24D5" w:rsidRDefault="001D6A5D"/>
    <w:p w:rsidR="001D6A5D" w:rsidRDefault="001D6A5D" w:rsidP="001D6A5D">
      <w:pPr>
        <w:spacing w:line="360" w:lineRule="auto"/>
        <w:jc w:val="both"/>
        <w:rPr>
          <w:sz w:val="22"/>
          <w:szCs w:val="22"/>
          <w:u w:val="single"/>
        </w:rPr>
      </w:pPr>
      <w:r>
        <w:rPr>
          <w:noProof/>
        </w:rPr>
        <w:drawing>
          <wp:anchor distT="0" distB="0" distL="114300" distR="114300" simplePos="0" relativeHeight="251661312" behindDoc="1" locked="0" layoutInCell="1" allowOverlap="1">
            <wp:simplePos x="0" y="0"/>
            <wp:positionH relativeFrom="column">
              <wp:posOffset>635</wp:posOffset>
            </wp:positionH>
            <wp:positionV relativeFrom="paragraph">
              <wp:posOffset>22225</wp:posOffset>
            </wp:positionV>
            <wp:extent cx="1782445" cy="2052955"/>
            <wp:effectExtent l="0" t="0" r="8255" b="4445"/>
            <wp:wrapTight wrapText="bothSides">
              <wp:wrapPolygon edited="0">
                <wp:start x="0" y="0"/>
                <wp:lineTo x="0" y="21446"/>
                <wp:lineTo x="21469" y="21446"/>
                <wp:lineTo x="2146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2445" cy="20529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C5168B">
        <w:rPr>
          <w:sz w:val="22"/>
          <w:szCs w:val="22"/>
          <w:highlight w:val="green"/>
          <w:u w:val="single"/>
        </w:rPr>
        <w:t>Ventolin</w:t>
      </w:r>
      <w:proofErr w:type="spellEnd"/>
      <w:r w:rsidRPr="00C5168B">
        <w:rPr>
          <w:sz w:val="22"/>
          <w:szCs w:val="22"/>
          <w:u w:val="single"/>
        </w:rPr>
        <w:t xml:space="preserve"> </w:t>
      </w:r>
      <w:r>
        <w:rPr>
          <w:sz w:val="22"/>
          <w:szCs w:val="22"/>
          <w:u w:val="single"/>
        </w:rPr>
        <w:t xml:space="preserve">- </w:t>
      </w:r>
      <w:r w:rsidRPr="00283034">
        <w:rPr>
          <w:sz w:val="22"/>
          <w:szCs w:val="22"/>
        </w:rPr>
        <w:t>roztok</w:t>
      </w:r>
      <w:proofErr w:type="gramEnd"/>
      <w:r w:rsidRPr="00283034">
        <w:rPr>
          <w:sz w:val="22"/>
          <w:szCs w:val="22"/>
        </w:rPr>
        <w:t xml:space="preserve"> inhalaci (</w:t>
      </w:r>
      <w:proofErr w:type="spellStart"/>
      <w:r w:rsidRPr="00283034">
        <w:rPr>
          <w:sz w:val="22"/>
          <w:szCs w:val="22"/>
        </w:rPr>
        <w:t>salbutamol</w:t>
      </w:r>
      <w:proofErr w:type="spellEnd"/>
      <w:r w:rsidRPr="00283034">
        <w:rPr>
          <w:sz w:val="22"/>
          <w:szCs w:val="22"/>
        </w:rPr>
        <w:t>)</w:t>
      </w:r>
      <w:r>
        <w:rPr>
          <w:sz w:val="22"/>
          <w:szCs w:val="22"/>
          <w:u w:val="single"/>
        </w:rPr>
        <w:t xml:space="preserve"> </w:t>
      </w:r>
    </w:p>
    <w:p w:rsidR="001D6A5D" w:rsidRPr="00C5168B" w:rsidRDefault="001D6A5D" w:rsidP="001D6A5D">
      <w:pPr>
        <w:pStyle w:val="Default"/>
      </w:pPr>
      <w:r w:rsidRPr="00C5168B">
        <w:t xml:space="preserve">Jeden ml roztoku obsahuje </w:t>
      </w:r>
      <w:proofErr w:type="spellStart"/>
      <w:r w:rsidRPr="00C5168B">
        <w:t>salbutamoli</w:t>
      </w:r>
      <w:proofErr w:type="spellEnd"/>
      <w:r w:rsidRPr="00C5168B">
        <w:t xml:space="preserve"> </w:t>
      </w:r>
      <w:proofErr w:type="spellStart"/>
      <w:r w:rsidRPr="00C5168B">
        <w:t>sulfas</w:t>
      </w:r>
      <w:proofErr w:type="spellEnd"/>
      <w:r w:rsidRPr="00C5168B">
        <w:t xml:space="preserve"> 6 mg, což odpovídá </w:t>
      </w:r>
      <w:proofErr w:type="spellStart"/>
      <w:r w:rsidRPr="00C5168B">
        <w:t>salbutamolum</w:t>
      </w:r>
      <w:proofErr w:type="spellEnd"/>
      <w:r w:rsidRPr="00C5168B">
        <w:t xml:space="preserve"> 5 mg. </w:t>
      </w:r>
    </w:p>
    <w:p w:rsidR="001D6A5D" w:rsidRDefault="001D6A5D" w:rsidP="001D6A5D">
      <w:pPr>
        <w:spacing w:line="360" w:lineRule="auto"/>
        <w:jc w:val="both"/>
      </w:pPr>
      <w:r w:rsidRPr="00C5168B">
        <w:t xml:space="preserve"> </w:t>
      </w:r>
      <w:proofErr w:type="spellStart"/>
      <w:r w:rsidRPr="00C5168B">
        <w:t>Salbutamol</w:t>
      </w:r>
      <w:proofErr w:type="spellEnd"/>
      <w:r w:rsidRPr="00C5168B">
        <w:t xml:space="preserve"> je selektivní agonista beta2-adrenoreceptorů indikovaný k léčbě nebo prevenci vzniku bronchospasmu. </w:t>
      </w:r>
      <w:proofErr w:type="spellStart"/>
      <w:r w:rsidRPr="00C5168B">
        <w:t>Salbutamol</w:t>
      </w:r>
      <w:proofErr w:type="spellEnd"/>
      <w:r w:rsidRPr="00C5168B">
        <w:t xml:space="preserve"> navozuje rychlou (do 5 minut) krátkodobou (čtyřhodinovou) </w:t>
      </w:r>
      <w:proofErr w:type="spellStart"/>
      <w:r w:rsidRPr="00C5168B">
        <w:t>bronchodilataci</w:t>
      </w:r>
      <w:proofErr w:type="spellEnd"/>
      <w:r w:rsidRPr="00C5168B">
        <w:t xml:space="preserve"> při reverzibilní obstrukci dýchacích cest způsobené bronchiálním astmatem, chronickou bronchitidou a emfyzémem. U pacientů s bronchiálním astmatem by </w:t>
      </w:r>
      <w:proofErr w:type="spellStart"/>
      <w:r w:rsidRPr="00C5168B">
        <w:t>salbutamol</w:t>
      </w:r>
      <w:proofErr w:type="spellEnd"/>
      <w:r w:rsidRPr="00C5168B">
        <w:t xml:space="preserve"> měl být používán ke zmírnění již vzniklých příznaků, nebo příznaků, které mohou vyvolat astmatický záchvat</w:t>
      </w:r>
      <w:r>
        <w:t xml:space="preserve">. </w:t>
      </w:r>
    </w:p>
    <w:p w:rsidR="001D6A5D" w:rsidRDefault="001D6A5D" w:rsidP="001D6A5D">
      <w:pPr>
        <w:spacing w:line="360" w:lineRule="auto"/>
        <w:jc w:val="both"/>
      </w:pPr>
      <w:r>
        <w:rPr>
          <w:noProof/>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128905</wp:posOffset>
                </wp:positionV>
                <wp:extent cx="6057900" cy="1527810"/>
                <wp:effectExtent l="33020" t="38100" r="33655" b="34290"/>
                <wp:wrapNone/>
                <wp:docPr id="2" name="Vývojový diagram: alternativní postu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27810"/>
                        </a:xfrm>
                        <a:prstGeom prst="flowChartAlternateProcess">
                          <a:avLst/>
                        </a:prstGeom>
                        <a:noFill/>
                        <a:ln w="635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9669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2" o:spid="_x0000_s1026" type="#_x0000_t176" style="position:absolute;margin-left:-18pt;margin-top:10.15pt;width:477pt;height:1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" filled="f" strokecolor="red" strokeweight="5pt"/>
            </w:pict>
          </mc:Fallback>
        </mc:AlternateContent>
      </w:r>
    </w:p>
    <w:p w:rsidR="001D6A5D" w:rsidRPr="00C5168B" w:rsidRDefault="001D6A5D" w:rsidP="001D6A5D">
      <w:pPr>
        <w:spacing w:line="360" w:lineRule="auto"/>
        <w:jc w:val="center"/>
      </w:pPr>
      <w:r w:rsidRPr="00C5168B">
        <w:t xml:space="preserve">U pacientů s perzistující formou astmatu nemají být </w:t>
      </w:r>
      <w:proofErr w:type="spellStart"/>
      <w:r w:rsidRPr="00C5168B">
        <w:t>bronchodilatancia</w:t>
      </w:r>
      <w:proofErr w:type="spellEnd"/>
      <w:r w:rsidRPr="00C5168B">
        <w:t xml:space="preserve"> jedinou nebo hlavní terapií. U pacientů s perzistující formou astmatu, kteří nereagují na léčbu </w:t>
      </w:r>
      <w:proofErr w:type="spellStart"/>
      <w:r w:rsidRPr="00C5168B">
        <w:t>salbutamolem</w:t>
      </w:r>
      <w:proofErr w:type="spellEnd"/>
      <w:r w:rsidRPr="00C5168B">
        <w:t xml:space="preserve"> se doporučuje léčba inhalačními kortikosteroidy k dosažení a udržení kontroly astmatu. Nedostaví-li se odezva na léčbu </w:t>
      </w:r>
      <w:proofErr w:type="spellStart"/>
      <w:r w:rsidRPr="00C5168B">
        <w:t>salbutamolem</w:t>
      </w:r>
      <w:proofErr w:type="spellEnd"/>
      <w:r w:rsidRPr="00C5168B">
        <w:t>, může to signalizovat potřebu neodkladného lékařského vyšetření nebo změny léčby.</w:t>
      </w:r>
    </w:p>
    <w:p w:rsidR="001D6A5D" w:rsidRDefault="001D6A5D" w:rsidP="001D6A5D">
      <w:pPr>
        <w:spacing w:line="360" w:lineRule="auto"/>
        <w:jc w:val="both"/>
      </w:pPr>
    </w:p>
    <w:p w:rsidR="001D6A5D" w:rsidRDefault="001D6A5D" w:rsidP="001D6A5D">
      <w:pPr>
        <w:spacing w:line="360" w:lineRule="auto"/>
        <w:jc w:val="both"/>
      </w:pPr>
      <w:proofErr w:type="spellStart"/>
      <w:r w:rsidRPr="008B5E55">
        <w:t>Ventolin</w:t>
      </w:r>
      <w:proofErr w:type="spellEnd"/>
      <w:r w:rsidRPr="008B5E55">
        <w:t xml:space="preserve"> roztok k inhalaci je určen pouze k perorální inhalaci s nebulizátorem pod dohledem lékaře, nesmí se podávat injekčně nebo polykat. Roztok je určen dospělým, dospívajícím a dětem ve věku 4 až 11 let. </w:t>
      </w:r>
      <w:r w:rsidRPr="008B5E55">
        <w:rPr>
          <w:b/>
        </w:rPr>
        <w:t>Kontraindikací</w:t>
      </w:r>
      <w:r w:rsidRPr="008B5E55">
        <w:t xml:space="preserve"> je hypersenzitivita na léčivou látku. Důsledkem terapie beta2-agonistickým léčivem, hlavně při jeho parenterální a </w:t>
      </w:r>
      <w:proofErr w:type="spellStart"/>
      <w:r w:rsidRPr="008B5E55">
        <w:t>nebulizační</w:t>
      </w:r>
      <w:proofErr w:type="spellEnd"/>
      <w:r w:rsidRPr="008B5E55">
        <w:t xml:space="preserve"> aplikaci, může být potenciálně závažná </w:t>
      </w:r>
      <w:proofErr w:type="spellStart"/>
      <w:r w:rsidRPr="008B5E55">
        <w:t>hypokalémie</w:t>
      </w:r>
      <w:proofErr w:type="spellEnd"/>
      <w:r w:rsidRPr="008B5E55">
        <w:t xml:space="preserve">. Stejně jako při podávání jiných inhalačních přípravků může po inhalaci tohoto přípravku dojít k paradoxnímu bronchospasmu s náhlým vznikem hvízdavého dýchání. Podobně jako ostatní beta2-agonisté může i </w:t>
      </w:r>
      <w:proofErr w:type="spellStart"/>
      <w:r w:rsidRPr="008B5E55">
        <w:t>salbutamol</w:t>
      </w:r>
      <w:proofErr w:type="spellEnd"/>
      <w:r w:rsidRPr="008B5E55">
        <w:t xml:space="preserve"> způsobit reverzibilní změnu metabolismu, včetně změny glykémie (zvýšení jejích hodnot). U malé části pacientů léčených kombinací </w:t>
      </w:r>
      <w:proofErr w:type="spellStart"/>
      <w:r w:rsidRPr="008B5E55">
        <w:t>nebulizovaného</w:t>
      </w:r>
      <w:proofErr w:type="spellEnd"/>
      <w:r w:rsidRPr="008B5E55">
        <w:t xml:space="preserve"> </w:t>
      </w:r>
      <w:proofErr w:type="spellStart"/>
      <w:r w:rsidRPr="008B5E55">
        <w:t>salbutamolu</w:t>
      </w:r>
      <w:proofErr w:type="spellEnd"/>
      <w:r w:rsidRPr="008B5E55">
        <w:t xml:space="preserve"> a </w:t>
      </w:r>
      <w:proofErr w:type="spellStart"/>
      <w:r w:rsidRPr="008B5E55">
        <w:t>ipratropia</w:t>
      </w:r>
      <w:proofErr w:type="spellEnd"/>
      <w:r w:rsidRPr="008B5E55">
        <w:t xml:space="preserve"> bromidu </w:t>
      </w:r>
      <w:r>
        <w:t>(</w:t>
      </w:r>
      <w:proofErr w:type="spellStart"/>
      <w:r>
        <w:t>Berodual</w:t>
      </w:r>
      <w:proofErr w:type="spellEnd"/>
      <w:r>
        <w:t xml:space="preserve">) </w:t>
      </w:r>
      <w:r w:rsidRPr="008B5E55">
        <w:t>byl hlášen akutní glaukom (s uzavřeným úhlem).</w:t>
      </w:r>
    </w:p>
    <w:p w:rsidR="002B3ACA" w:rsidRDefault="002B3ACA"/>
    <w:p w:rsidR="001D6A5D" w:rsidRDefault="001D6A5D"/>
    <w:p w:rsidR="001D6A5D" w:rsidRDefault="001D6A5D">
      <w:pPr>
        <w:spacing w:after="160" w:line="259" w:lineRule="auto"/>
      </w:pPr>
      <w:r>
        <w:br w:type="page"/>
      </w:r>
    </w:p>
    <w:p w:rsidR="001D6A5D" w:rsidRPr="0019599E" w:rsidRDefault="001D6A5D" w:rsidP="001D6A5D">
      <w:pPr>
        <w:spacing w:line="360" w:lineRule="auto"/>
      </w:pPr>
      <w:r>
        <w:rPr>
          <w:noProof/>
        </w:rPr>
        <w:lastRenderedPageBreak/>
        <w:drawing>
          <wp:anchor distT="0" distB="0" distL="114300" distR="114300" simplePos="0" relativeHeight="251664384" behindDoc="1" locked="0" layoutInCell="1" allowOverlap="1">
            <wp:simplePos x="0" y="0"/>
            <wp:positionH relativeFrom="column">
              <wp:posOffset>-4445</wp:posOffset>
            </wp:positionH>
            <wp:positionV relativeFrom="paragraph">
              <wp:posOffset>264795</wp:posOffset>
            </wp:positionV>
            <wp:extent cx="2190750" cy="2429510"/>
            <wp:effectExtent l="0" t="0" r="0" b="8890"/>
            <wp:wrapTight wrapText="bothSides">
              <wp:wrapPolygon edited="0">
                <wp:start x="0" y="0"/>
                <wp:lineTo x="0" y="21510"/>
                <wp:lineTo x="21412" y="21510"/>
                <wp:lineTo x="2141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2429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0F6C">
        <w:rPr>
          <w:highlight w:val="green"/>
        </w:rPr>
        <w:t xml:space="preserve">Adrenalin 1 mg </w:t>
      </w:r>
      <w:proofErr w:type="spellStart"/>
      <w:r w:rsidRPr="00E70F6C">
        <w:rPr>
          <w:highlight w:val="green"/>
        </w:rPr>
        <w:t>amp</w:t>
      </w:r>
      <w:proofErr w:type="spellEnd"/>
      <w:r w:rsidRPr="00E70F6C">
        <w:rPr>
          <w:highlight w:val="green"/>
        </w:rPr>
        <w:t>.</w:t>
      </w:r>
      <w:r>
        <w:t xml:space="preserve"> (</w:t>
      </w:r>
      <w:proofErr w:type="spellStart"/>
      <w:r>
        <w:t>e</w:t>
      </w:r>
      <w:r w:rsidRPr="0019599E">
        <w:t>pinephrini</w:t>
      </w:r>
      <w:proofErr w:type="spellEnd"/>
      <w:r w:rsidRPr="0019599E">
        <w:t xml:space="preserve"> </w:t>
      </w:r>
      <w:proofErr w:type="spellStart"/>
      <w:r w:rsidRPr="0019599E">
        <w:t>hydrochloridum</w:t>
      </w:r>
      <w:proofErr w:type="spellEnd"/>
      <w:r>
        <w:t>)</w:t>
      </w:r>
    </w:p>
    <w:p w:rsidR="001D6A5D" w:rsidRDefault="001D6A5D" w:rsidP="001D6A5D">
      <w:pPr>
        <w:spacing w:line="360" w:lineRule="auto"/>
      </w:pPr>
    </w:p>
    <w:p w:rsidR="001D6A5D" w:rsidRDefault="001D6A5D" w:rsidP="001D6A5D">
      <w:pPr>
        <w:spacing w:line="360" w:lineRule="auto"/>
      </w:pPr>
      <w:r>
        <w:t xml:space="preserve">Sympatomimetikum, které </w:t>
      </w:r>
      <w:r w:rsidRPr="007A0471">
        <w:t xml:space="preserve">stimuluje </w:t>
      </w:r>
      <w:proofErr w:type="gramStart"/>
      <w:r w:rsidRPr="007A0471">
        <w:t>α- i</w:t>
      </w:r>
      <w:proofErr w:type="gramEnd"/>
      <w:r w:rsidRPr="007A0471">
        <w:t xml:space="preserve"> β-adrenergní receptory</w:t>
      </w:r>
      <w:r>
        <w:t>, a to v závislosti na podané dávce:</w:t>
      </w:r>
    </w:p>
    <w:p w:rsidR="001D6A5D" w:rsidRDefault="001D6A5D" w:rsidP="001D6A5D">
      <w:pPr>
        <w:spacing w:line="360" w:lineRule="auto"/>
        <w:jc w:val="both"/>
      </w:pPr>
      <w:r>
        <w:t xml:space="preserve">V dávce do 2 </w:t>
      </w:r>
      <w:proofErr w:type="spellStart"/>
      <w:r>
        <w:t>μg</w:t>
      </w:r>
      <w:proofErr w:type="spellEnd"/>
      <w:r>
        <w:t xml:space="preserve">/min vyvolává především výraznou relaxaci hladké svaloviny dělohy, respiračního traktu a některých cév (pokles diastolického tlaku) a středně zvětšuje sílu a frekvenci srdečních stahů. </w:t>
      </w:r>
    </w:p>
    <w:p w:rsidR="001D6A5D" w:rsidRDefault="001D6A5D" w:rsidP="001D6A5D">
      <w:pPr>
        <w:spacing w:line="360" w:lineRule="auto"/>
        <w:jc w:val="both"/>
      </w:pPr>
      <w:r>
        <w:t xml:space="preserve">V dávkách </w:t>
      </w:r>
      <w:proofErr w:type="gramStart"/>
      <w:r>
        <w:t>4 - 10</w:t>
      </w:r>
      <w:proofErr w:type="gramEnd"/>
      <w:r>
        <w:t xml:space="preserve"> </w:t>
      </w:r>
      <w:proofErr w:type="spellStart"/>
      <w:r>
        <w:t>μg</w:t>
      </w:r>
      <w:proofErr w:type="spellEnd"/>
      <w:r>
        <w:t xml:space="preserve">/min zesiluje účinky na srdce a přidávají se slabé účinky na většinu inervované cévní a </w:t>
      </w:r>
      <w:proofErr w:type="spellStart"/>
      <w:r>
        <w:t>pilomotorické</w:t>
      </w:r>
      <w:proofErr w:type="spellEnd"/>
      <w:r>
        <w:t xml:space="preserve"> hladké svaloviny (vazokonstrikce, mydriáza). </w:t>
      </w:r>
    </w:p>
    <w:p w:rsidR="001D6A5D" w:rsidRDefault="001D6A5D" w:rsidP="001D6A5D">
      <w:pPr>
        <w:spacing w:line="360" w:lineRule="auto"/>
      </w:pPr>
      <w:r w:rsidRPr="0019599E">
        <w:t>Epinefr</w:t>
      </w:r>
      <w:r>
        <w:t xml:space="preserve">in je vhodný pro děti i dospělé při srdeční zástavě a alergických stavech. </w:t>
      </w:r>
    </w:p>
    <w:p w:rsidR="001D6A5D" w:rsidRDefault="001D6A5D" w:rsidP="001D6A5D">
      <w:pPr>
        <w:spacing w:line="360" w:lineRule="auto"/>
      </w:pPr>
    </w:p>
    <w:p w:rsidR="001D6A5D" w:rsidRPr="0019599E" w:rsidRDefault="001D6A5D" w:rsidP="001D6A5D">
      <w:pPr>
        <w:spacing w:line="360" w:lineRule="auto"/>
        <w:rPr>
          <w:b/>
          <w:u w:val="single"/>
        </w:rPr>
      </w:pPr>
      <w:r w:rsidRPr="0019599E">
        <w:rPr>
          <w:b/>
          <w:u w:val="single"/>
        </w:rPr>
        <w:t>Srdeční zástava</w:t>
      </w:r>
    </w:p>
    <w:p w:rsidR="001D6A5D" w:rsidRPr="0019599E" w:rsidRDefault="001D6A5D" w:rsidP="001D6A5D">
      <w:pPr>
        <w:spacing w:line="360" w:lineRule="auto"/>
      </w:pPr>
      <w:r w:rsidRPr="0019599E">
        <w:rPr>
          <w:b/>
        </w:rPr>
        <w:t>Dospělí:</w:t>
      </w:r>
      <w:r w:rsidRPr="0019599E">
        <w:t xml:space="preserve"> 1 mg intravenózně nebo </w:t>
      </w:r>
      <w:proofErr w:type="spellStart"/>
      <w:r w:rsidRPr="0019599E">
        <w:t>intraoseálně</w:t>
      </w:r>
      <w:proofErr w:type="spellEnd"/>
      <w:r>
        <w:t>.</w:t>
      </w:r>
    </w:p>
    <w:p w:rsidR="001D6A5D" w:rsidRPr="0019599E" w:rsidRDefault="001D6A5D" w:rsidP="001D6A5D">
      <w:pPr>
        <w:spacing w:line="360" w:lineRule="auto"/>
      </w:pPr>
      <w:r w:rsidRPr="0019599E">
        <w:rPr>
          <w:b/>
        </w:rPr>
        <w:t>Děti:</w:t>
      </w:r>
      <w:r w:rsidRPr="0019599E">
        <w:t xml:space="preserve"> 0,01 mg/kg </w:t>
      </w:r>
      <w:r>
        <w:t xml:space="preserve">(neboli 1 µg – mikrogram) </w:t>
      </w:r>
      <w:r w:rsidRPr="0019599E">
        <w:t xml:space="preserve">tělesné hmotnosti intravenózně nebo </w:t>
      </w:r>
      <w:proofErr w:type="spellStart"/>
      <w:r>
        <w:t>i</w:t>
      </w:r>
      <w:r w:rsidRPr="0019599E">
        <w:t>ntraoseálně</w:t>
      </w:r>
      <w:proofErr w:type="spellEnd"/>
      <w:r w:rsidRPr="0019599E">
        <w:t xml:space="preserve"> každýc</w:t>
      </w:r>
      <w:r>
        <w:t xml:space="preserve">h </w:t>
      </w:r>
      <w:proofErr w:type="gramStart"/>
      <w:r>
        <w:t>3 – 5</w:t>
      </w:r>
      <w:proofErr w:type="gramEnd"/>
      <w:r>
        <w:t xml:space="preserve"> minut (maximálně 1 mg). </w:t>
      </w:r>
    </w:p>
    <w:p w:rsidR="001D6A5D" w:rsidRDefault="001D6A5D" w:rsidP="001D6A5D">
      <w:pPr>
        <w:spacing w:line="360" w:lineRule="auto"/>
      </w:pPr>
      <w:r w:rsidRPr="005B7E44">
        <w:rPr>
          <w:b/>
        </w:rPr>
        <w:t>Novorozenci:</w:t>
      </w:r>
      <w:r w:rsidRPr="0019599E">
        <w:t xml:space="preserve"> 0,01 – 0,03 mg/kg </w:t>
      </w:r>
      <w:r>
        <w:t>(neboli 1 µg 3</w:t>
      </w:r>
      <w:r w:rsidRPr="005B7E44">
        <w:t xml:space="preserve"> </w:t>
      </w:r>
      <w:r>
        <w:t xml:space="preserve">µg – mikrogramů) </w:t>
      </w:r>
      <w:r w:rsidRPr="0019599E">
        <w:t xml:space="preserve">tělesné hmotnosti intravenózně nebo </w:t>
      </w:r>
      <w:proofErr w:type="spellStart"/>
      <w:r w:rsidRPr="0019599E">
        <w:t>intraoseálně</w:t>
      </w:r>
      <w:proofErr w:type="spellEnd"/>
      <w:r w:rsidRPr="0019599E">
        <w:t xml:space="preserve"> každých 3-5 minut. Endotrac</w:t>
      </w:r>
      <w:r>
        <w:t>heální aplikace se již nedoporučuje.</w:t>
      </w:r>
    </w:p>
    <w:p w:rsidR="001D6A5D" w:rsidRDefault="001D6A5D" w:rsidP="001D6A5D">
      <w:pPr>
        <w:spacing w:line="360" w:lineRule="auto"/>
      </w:pPr>
    </w:p>
    <w:p w:rsidR="001D6A5D" w:rsidRPr="00E70F6C" w:rsidRDefault="001D6A5D" w:rsidP="001D6A5D">
      <w:pPr>
        <w:spacing w:line="360" w:lineRule="auto"/>
        <w:rPr>
          <w:b/>
          <w:u w:val="single"/>
        </w:rPr>
      </w:pPr>
      <w:r w:rsidRPr="00E70F6C">
        <w:rPr>
          <w:b/>
          <w:u w:val="single"/>
        </w:rPr>
        <w:t xml:space="preserve">Anafylaktický šok: </w:t>
      </w:r>
    </w:p>
    <w:p w:rsidR="001D6A5D" w:rsidRDefault="001D6A5D" w:rsidP="001D6A5D">
      <w:pPr>
        <w:spacing w:line="360" w:lineRule="auto"/>
      </w:pPr>
      <w:r w:rsidRPr="00E70F6C">
        <w:rPr>
          <w:b/>
        </w:rPr>
        <w:t>Dospělí:</w:t>
      </w:r>
      <w:r>
        <w:t xml:space="preserve"> 0,3–0,5 mg do maximální jednotlivé dávky 1mg </w:t>
      </w:r>
    </w:p>
    <w:p w:rsidR="001D6A5D" w:rsidRDefault="001D6A5D" w:rsidP="001D6A5D">
      <w:pPr>
        <w:spacing w:line="360" w:lineRule="auto"/>
      </w:pPr>
      <w:r w:rsidRPr="00E70F6C">
        <w:rPr>
          <w:b/>
        </w:rPr>
        <w:t>Děti</w:t>
      </w:r>
      <w:r>
        <w:t xml:space="preserve">: 0,01 mg/kg do dávky 0,3 ml do maximální jednotlivé dávky 0,5 mg. </w:t>
      </w:r>
    </w:p>
    <w:p w:rsidR="001D6A5D" w:rsidRDefault="001D6A5D" w:rsidP="001D6A5D">
      <w:pPr>
        <w:spacing w:line="360" w:lineRule="auto"/>
        <w:jc w:val="both"/>
      </w:pPr>
      <w:r>
        <w:t>Intramuskulárně nebo subkutánně s možností opakování dávky po 5–15 minutách. Intramuskulární podání je doporučené zejména v úvodní fázi anafylaktické při přítomnosti celkových příznaků kvůli spolehlivějšímu a rychlejšímu nástup účinku. Pokud pacient neodpovídá na několik s. c. nebo i. m. podání, je vhodné podat naředěný Adrenalin, nejlépe na koncentraci 5 ml adrenalinu /500 ml fyziologického roztoku intravenózně ve formě infúze.</w:t>
      </w:r>
    </w:p>
    <w:p w:rsidR="001D6A5D" w:rsidRDefault="001D6A5D" w:rsidP="001D6A5D">
      <w:pPr>
        <w:spacing w:line="360" w:lineRule="auto"/>
        <w:jc w:val="both"/>
      </w:pPr>
    </w:p>
    <w:p w:rsidR="001D6A5D" w:rsidRDefault="001D6A5D" w:rsidP="001D6A5D">
      <w:pPr>
        <w:spacing w:line="360" w:lineRule="auto"/>
        <w:jc w:val="both"/>
        <w:rPr>
          <w:b/>
          <w:bCs/>
          <w:sz w:val="22"/>
          <w:szCs w:val="22"/>
        </w:rPr>
      </w:pPr>
      <w:r>
        <w:rPr>
          <w:b/>
          <w:bCs/>
          <w:sz w:val="22"/>
          <w:szCs w:val="22"/>
        </w:rPr>
        <w:t>Kontraindikace adrenalinu:</w:t>
      </w:r>
    </w:p>
    <w:p w:rsidR="001D6A5D" w:rsidRDefault="001D6A5D" w:rsidP="001D6A5D">
      <w:pPr>
        <w:numPr>
          <w:ilvl w:val="0"/>
          <w:numId w:val="1"/>
        </w:numPr>
        <w:spacing w:line="360" w:lineRule="auto"/>
        <w:jc w:val="both"/>
      </w:pPr>
      <w:r>
        <w:t xml:space="preserve">hypersenzitivita na léčivou látku </w:t>
      </w:r>
    </w:p>
    <w:p w:rsidR="001D6A5D" w:rsidRDefault="001D6A5D" w:rsidP="001D6A5D">
      <w:pPr>
        <w:numPr>
          <w:ilvl w:val="0"/>
          <w:numId w:val="1"/>
        </w:numPr>
        <w:spacing w:line="360" w:lineRule="auto"/>
        <w:jc w:val="both"/>
      </w:pPr>
      <w:r>
        <w:t xml:space="preserve">závažná hypoxie a </w:t>
      </w:r>
      <w:proofErr w:type="spellStart"/>
      <w:r>
        <w:t>hyperkapnie</w:t>
      </w:r>
      <w:proofErr w:type="spellEnd"/>
    </w:p>
    <w:p w:rsidR="001D6A5D" w:rsidRDefault="001D6A5D" w:rsidP="001D6A5D">
      <w:pPr>
        <w:numPr>
          <w:ilvl w:val="0"/>
          <w:numId w:val="1"/>
        </w:numPr>
        <w:spacing w:line="360" w:lineRule="auto"/>
        <w:jc w:val="both"/>
      </w:pPr>
      <w:r>
        <w:lastRenderedPageBreak/>
        <w:t xml:space="preserve">současné podávání inhibitorů monoaminooxidázy, léčba </w:t>
      </w:r>
      <w:proofErr w:type="spellStart"/>
      <w:r>
        <w:t>tricyklickými</w:t>
      </w:r>
      <w:proofErr w:type="spellEnd"/>
      <w:r>
        <w:t xml:space="preserve"> antidepresivy (</w:t>
      </w:r>
      <w:proofErr w:type="spellStart"/>
      <w:r>
        <w:t>tachyarytmie</w:t>
      </w:r>
      <w:proofErr w:type="spellEnd"/>
      <w:r>
        <w:t>)</w:t>
      </w:r>
    </w:p>
    <w:p w:rsidR="001D6A5D" w:rsidRDefault="001D6A5D" w:rsidP="001D6A5D">
      <w:pPr>
        <w:numPr>
          <w:ilvl w:val="0"/>
          <w:numId w:val="1"/>
        </w:numPr>
        <w:spacing w:line="360" w:lineRule="auto"/>
        <w:jc w:val="both"/>
      </w:pPr>
      <w:r>
        <w:t>hypertenze, hypovolémie</w:t>
      </w:r>
    </w:p>
    <w:p w:rsidR="001D6A5D" w:rsidRDefault="001D6A5D" w:rsidP="001D6A5D">
      <w:pPr>
        <w:numPr>
          <w:ilvl w:val="0"/>
          <w:numId w:val="1"/>
        </w:numPr>
        <w:spacing w:line="360" w:lineRule="auto"/>
        <w:jc w:val="both"/>
      </w:pPr>
      <w:r>
        <w:t>pokročilý věk s těžkou aterosklerózou</w:t>
      </w:r>
    </w:p>
    <w:p w:rsidR="001D6A5D" w:rsidRDefault="001D6A5D" w:rsidP="001D6A5D">
      <w:pPr>
        <w:numPr>
          <w:ilvl w:val="0"/>
          <w:numId w:val="1"/>
        </w:numPr>
        <w:spacing w:line="360" w:lineRule="auto"/>
        <w:jc w:val="both"/>
      </w:pPr>
      <w:proofErr w:type="spellStart"/>
      <w:r>
        <w:t>feochromocytom</w:t>
      </w:r>
      <w:proofErr w:type="spellEnd"/>
      <w:r>
        <w:t xml:space="preserve">, hypertrofická </w:t>
      </w:r>
      <w:proofErr w:type="spellStart"/>
      <w:r>
        <w:t>subaortální</w:t>
      </w:r>
      <w:proofErr w:type="spellEnd"/>
      <w:r>
        <w:t xml:space="preserve"> stenóza.</w:t>
      </w:r>
    </w:p>
    <w:p w:rsidR="001D6A5D" w:rsidRDefault="001D6A5D" w:rsidP="001D6A5D">
      <w:pPr>
        <w:spacing w:line="360" w:lineRule="auto"/>
        <w:jc w:val="both"/>
      </w:pPr>
      <w:r>
        <w:t xml:space="preserve">Všechny tyto kontraindikace musí být zcela individuálně posouzeny při stavech bezprostředně ohrožujících život: při náhlé zástavě srdeční, bronchospasmu a anafylaktickém šoku. Užití epinefrinu v těchto případech je indikováno, ale je bezpodmínečně nutné současně upravit hypoxii, </w:t>
      </w:r>
      <w:proofErr w:type="spellStart"/>
      <w:r>
        <w:t>hyperkapnii</w:t>
      </w:r>
      <w:proofErr w:type="spellEnd"/>
      <w:r>
        <w:t xml:space="preserve"> a hypovolémii s laktátovou acidózou. Při život ohrožujícím stavu je nutno individuálně zvážit poměr možného prospěchu a rizika při hypertenzi, </w:t>
      </w:r>
      <w:proofErr w:type="spellStart"/>
      <w:r>
        <w:t>hyperthyreóze</w:t>
      </w:r>
      <w:proofErr w:type="spellEnd"/>
      <w:r>
        <w:t xml:space="preserve">, těžší ischemické chorobě srdeční, </w:t>
      </w:r>
      <w:proofErr w:type="spellStart"/>
      <w:r>
        <w:t>tachyarytmii</w:t>
      </w:r>
      <w:proofErr w:type="spellEnd"/>
      <w:r>
        <w:t xml:space="preserve">, hypovolémii, </w:t>
      </w:r>
      <w:proofErr w:type="spellStart"/>
      <w:r>
        <w:t>hyperkapnii</w:t>
      </w:r>
      <w:proofErr w:type="spellEnd"/>
      <w:r>
        <w:t>, těžší hypoxii.</w:t>
      </w:r>
    </w:p>
    <w:p w:rsidR="001D6A5D" w:rsidRDefault="001D6A5D">
      <w:pPr>
        <w:spacing w:after="160" w:line="259" w:lineRule="auto"/>
      </w:pPr>
      <w:r>
        <w:br w:type="page"/>
      </w:r>
    </w:p>
    <w:p w:rsidR="001D6A5D" w:rsidRDefault="001D6A5D" w:rsidP="001D6A5D">
      <w:pPr>
        <w:pStyle w:val="Default"/>
      </w:pPr>
      <w:r w:rsidRPr="001F0746">
        <w:rPr>
          <w:highlight w:val="green"/>
        </w:rPr>
        <w:lastRenderedPageBreak/>
        <w:t>Noradrenalin</w:t>
      </w:r>
      <w:r>
        <w:t xml:space="preserve"> (</w:t>
      </w:r>
      <w:proofErr w:type="spellStart"/>
      <w:r>
        <w:t>norepinephrinum</w:t>
      </w:r>
      <w:proofErr w:type="spellEnd"/>
      <w:r>
        <w:t xml:space="preserve"> 1mg v 1ml)</w:t>
      </w:r>
    </w:p>
    <w:p w:rsidR="001D6A5D" w:rsidRDefault="001D6A5D" w:rsidP="001D6A5D">
      <w:pPr>
        <w:spacing w:line="360" w:lineRule="auto"/>
      </w:pPr>
      <w:r>
        <w:rPr>
          <w:noProof/>
        </w:rPr>
        <w:drawing>
          <wp:anchor distT="0" distB="0" distL="114300" distR="114300" simplePos="0" relativeHeight="251666432" behindDoc="1" locked="0" layoutInCell="1" allowOverlap="1">
            <wp:simplePos x="0" y="0"/>
            <wp:positionH relativeFrom="column">
              <wp:posOffset>3075305</wp:posOffset>
            </wp:positionH>
            <wp:positionV relativeFrom="paragraph">
              <wp:posOffset>520065</wp:posOffset>
            </wp:positionV>
            <wp:extent cx="2197100" cy="2006600"/>
            <wp:effectExtent l="0" t="0" r="0" b="0"/>
            <wp:wrapTight wrapText="bothSides">
              <wp:wrapPolygon edited="0">
                <wp:start x="0" y="0"/>
                <wp:lineTo x="0" y="21327"/>
                <wp:lineTo x="21350" y="21327"/>
                <wp:lineTo x="21350"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710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t>Noradrenalin (</w:t>
      </w:r>
      <w:proofErr w:type="spellStart"/>
      <w:r>
        <w:t>norepinefrin</w:t>
      </w:r>
      <w:proofErr w:type="spellEnd"/>
      <w:r>
        <w:t xml:space="preserve">) stimuluje </w:t>
      </w:r>
      <w:proofErr w:type="gramStart"/>
      <w:r>
        <w:t>alfa- i</w:t>
      </w:r>
      <w:proofErr w:type="gramEnd"/>
      <w:r>
        <w:t xml:space="preserve"> beta-adrenergní receptory a to v závislosti na podané dávce:</w:t>
      </w:r>
    </w:p>
    <w:p w:rsidR="001D6A5D" w:rsidRDefault="001D6A5D" w:rsidP="001D6A5D">
      <w:pPr>
        <w:numPr>
          <w:ilvl w:val="0"/>
          <w:numId w:val="2"/>
        </w:numPr>
        <w:spacing w:line="360" w:lineRule="auto"/>
      </w:pPr>
      <w:r>
        <w:t xml:space="preserve">dávka do 2 </w:t>
      </w:r>
      <w:proofErr w:type="spellStart"/>
      <w:r>
        <w:t>μg</w:t>
      </w:r>
      <w:proofErr w:type="spellEnd"/>
      <w:r>
        <w:t>/min zvětšuje sílu a frekvenci srdečních stahů</w:t>
      </w:r>
    </w:p>
    <w:p w:rsidR="001D6A5D" w:rsidRDefault="001D6A5D" w:rsidP="001D6A5D">
      <w:pPr>
        <w:numPr>
          <w:ilvl w:val="0"/>
          <w:numId w:val="2"/>
        </w:numPr>
        <w:spacing w:line="360" w:lineRule="auto"/>
      </w:pPr>
      <w:r>
        <w:t xml:space="preserve">dávka 4-10 </w:t>
      </w:r>
      <w:proofErr w:type="spellStart"/>
      <w:r>
        <w:t>μg</w:t>
      </w:r>
      <w:proofErr w:type="spellEnd"/>
      <w:r>
        <w:t xml:space="preserve">/min zesilují se účinky na srdce a přidávají se vazokonstrikce, mydriáza </w:t>
      </w:r>
    </w:p>
    <w:p w:rsidR="001D6A5D" w:rsidRDefault="001D6A5D" w:rsidP="001D6A5D">
      <w:pPr>
        <w:numPr>
          <w:ilvl w:val="0"/>
          <w:numId w:val="2"/>
        </w:numPr>
        <w:spacing w:line="360" w:lineRule="auto"/>
        <w:jc w:val="both"/>
      </w:pPr>
      <w:r>
        <w:t xml:space="preserve">dávka nad 10 </w:t>
      </w:r>
      <w:proofErr w:type="spellStart"/>
      <w:r>
        <w:t>μg</w:t>
      </w:r>
      <w:proofErr w:type="spellEnd"/>
      <w:r>
        <w:t xml:space="preserve">/min dochází ke zvýšení celkového periferního odporu (systolického a diastolického tlaku), při dalším zvyšování dávky dochází k vazokonstrikci v kožních cévách a ve </w:t>
      </w:r>
      <w:proofErr w:type="spellStart"/>
      <w:r>
        <w:t>splanchnické</w:t>
      </w:r>
      <w:proofErr w:type="spellEnd"/>
      <w:r>
        <w:t xml:space="preserve"> oblasti, vedoucí až k ischémii ve </w:t>
      </w:r>
      <w:proofErr w:type="spellStart"/>
      <w:r>
        <w:t>splanchnické</w:t>
      </w:r>
      <w:proofErr w:type="spellEnd"/>
      <w:r>
        <w:t xml:space="preserve"> oblasti (může tak být usnadněna bakteriální přechod ze střeva do krve), dochází k poklesu střevní motility a průtoku krve ledvinami.</w:t>
      </w:r>
    </w:p>
    <w:p w:rsidR="001D6A5D" w:rsidRDefault="001D6A5D" w:rsidP="001D6A5D">
      <w:pPr>
        <w:spacing w:line="360" w:lineRule="auto"/>
        <w:jc w:val="both"/>
        <w:rPr>
          <w:b/>
        </w:rPr>
      </w:pPr>
    </w:p>
    <w:p w:rsidR="001D6A5D" w:rsidRPr="00057FE1" w:rsidRDefault="001D6A5D" w:rsidP="001D6A5D">
      <w:pPr>
        <w:spacing w:line="360" w:lineRule="auto"/>
        <w:jc w:val="both"/>
        <w:rPr>
          <w:b/>
        </w:rPr>
      </w:pPr>
      <w:r w:rsidRPr="00057FE1">
        <w:rPr>
          <w:b/>
        </w:rPr>
        <w:t>Mezi terapeutické indikace patří:</w:t>
      </w:r>
    </w:p>
    <w:p w:rsidR="001D6A5D" w:rsidRDefault="001D6A5D" w:rsidP="001D6A5D">
      <w:pPr>
        <w:spacing w:line="360" w:lineRule="auto"/>
        <w:jc w:val="both"/>
      </w:pPr>
      <w:r>
        <w:t xml:space="preserve">Profylaxe nebo terapie akutní hypotenze, terapie šokových stavů nereagujících na doplnění objemu tekutinami při infarktu myokardu, traumatu, sepsi, selhání ledvin, srdečních operacích, chronické srdeční dekompenzaci, intoxikaci léky, anafylaktické reakci. </w:t>
      </w:r>
    </w:p>
    <w:p w:rsidR="001D6A5D" w:rsidRDefault="001D6A5D" w:rsidP="001D6A5D">
      <w:pPr>
        <w:spacing w:line="360" w:lineRule="auto"/>
        <w:jc w:val="both"/>
      </w:pPr>
    </w:p>
    <w:p w:rsidR="001D6A5D" w:rsidRPr="00057FE1" w:rsidRDefault="001D6A5D" w:rsidP="001D6A5D">
      <w:pPr>
        <w:spacing w:line="360" w:lineRule="auto"/>
        <w:jc w:val="both"/>
        <w:rPr>
          <w:b/>
        </w:rPr>
      </w:pPr>
      <w:r w:rsidRPr="00057FE1">
        <w:rPr>
          <w:b/>
        </w:rPr>
        <w:t>Mezi hlavní kontraindikace patří:</w:t>
      </w:r>
    </w:p>
    <w:p w:rsidR="001D6A5D" w:rsidRDefault="001D6A5D" w:rsidP="001D6A5D">
      <w:pPr>
        <w:numPr>
          <w:ilvl w:val="0"/>
          <w:numId w:val="3"/>
        </w:numPr>
        <w:spacing w:line="360" w:lineRule="auto"/>
        <w:jc w:val="both"/>
      </w:pPr>
      <w:r>
        <w:t xml:space="preserve">hypersenzitivita na léčivou látku </w:t>
      </w:r>
    </w:p>
    <w:p w:rsidR="001D6A5D" w:rsidRDefault="001D6A5D" w:rsidP="001D6A5D">
      <w:pPr>
        <w:numPr>
          <w:ilvl w:val="0"/>
          <w:numId w:val="3"/>
        </w:numPr>
        <w:spacing w:line="360" w:lineRule="auto"/>
        <w:jc w:val="both"/>
      </w:pPr>
      <w:proofErr w:type="spellStart"/>
      <w:r>
        <w:t>subaortální</w:t>
      </w:r>
      <w:proofErr w:type="spellEnd"/>
      <w:r>
        <w:t xml:space="preserve"> stenóza, </w:t>
      </w:r>
      <w:proofErr w:type="spellStart"/>
      <w:r>
        <w:t>feochromocytom</w:t>
      </w:r>
      <w:proofErr w:type="spellEnd"/>
      <w:r>
        <w:t xml:space="preserve"> (nádor dřeně nadledvin)</w:t>
      </w:r>
    </w:p>
    <w:p w:rsidR="001D6A5D" w:rsidRDefault="001D6A5D" w:rsidP="001D6A5D">
      <w:pPr>
        <w:numPr>
          <w:ilvl w:val="0"/>
          <w:numId w:val="3"/>
        </w:numPr>
        <w:spacing w:line="360" w:lineRule="auto"/>
        <w:jc w:val="both"/>
      </w:pPr>
      <w:proofErr w:type="spellStart"/>
      <w:r>
        <w:t>tachyarytmie</w:t>
      </w:r>
      <w:proofErr w:type="spellEnd"/>
      <w:r>
        <w:t xml:space="preserve"> nebo fibrilace komor, hypertenze</w:t>
      </w:r>
    </w:p>
    <w:p w:rsidR="001D6A5D" w:rsidRDefault="001D6A5D" w:rsidP="001D6A5D">
      <w:pPr>
        <w:spacing w:line="360" w:lineRule="auto"/>
      </w:pPr>
    </w:p>
    <w:p w:rsidR="001D6A5D" w:rsidRDefault="001D6A5D" w:rsidP="001D6A5D">
      <w:pPr>
        <w:spacing w:line="360" w:lineRule="auto"/>
        <w:jc w:val="both"/>
      </w:pPr>
      <w:r w:rsidRPr="00A1001C">
        <w:rPr>
          <w:b/>
        </w:rPr>
        <w:t>Upozornění:</w:t>
      </w:r>
      <w:r>
        <w:t xml:space="preserve"> Při hypovolémii je třeba před podáním </w:t>
      </w:r>
      <w:proofErr w:type="spellStart"/>
      <w:r>
        <w:t>norepinefrinu</w:t>
      </w:r>
      <w:proofErr w:type="spellEnd"/>
      <w:r>
        <w:t xml:space="preserve"> nejprve doplnit krevní objem. Během léčby noradrenalinem je třeba udržovat </w:t>
      </w:r>
      <w:proofErr w:type="spellStart"/>
      <w:r>
        <w:t>normovolémii</w:t>
      </w:r>
      <w:proofErr w:type="spellEnd"/>
      <w:r>
        <w:t xml:space="preserve">. Při infarktu myokardu mohou vyšší dávky </w:t>
      </w:r>
      <w:proofErr w:type="spellStart"/>
      <w:r>
        <w:t>norepinefrinu</w:t>
      </w:r>
      <w:proofErr w:type="spellEnd"/>
      <w:r>
        <w:t xml:space="preserve"> vést k ischémii myokardu zvýšením potřeby kyslíku. </w:t>
      </w:r>
      <w:proofErr w:type="spellStart"/>
      <w:r>
        <w:t>Norepinefrin</w:t>
      </w:r>
      <w:proofErr w:type="spellEnd"/>
      <w:r>
        <w:t xml:space="preserve"> rovněž urychluje vedení vzruchu myokardem a zvyšuje aktivitu pacemakerů. Je třeba se vyvarovat </w:t>
      </w:r>
      <w:proofErr w:type="spellStart"/>
      <w:r>
        <w:t>mimožilního</w:t>
      </w:r>
      <w:proofErr w:type="spellEnd"/>
      <w:r>
        <w:t xml:space="preserve"> podání, které může vést k nekróze tkání (noradrenalin nesmí být podán subkutánně nebo intramuskulárně). V průběhu léčby je nutné monitorování krevního tlaku, tepové frekvence, funkce ledvin, event. EKG. </w:t>
      </w:r>
    </w:p>
    <w:p w:rsidR="001D6A5D" w:rsidRDefault="001D6A5D">
      <w:pPr>
        <w:spacing w:after="160" w:line="259" w:lineRule="auto"/>
      </w:pPr>
      <w:r>
        <w:br w:type="page"/>
      </w:r>
    </w:p>
    <w:p w:rsidR="001D6A5D" w:rsidRDefault="001D6A5D" w:rsidP="001D6A5D">
      <w:pPr>
        <w:spacing w:line="360" w:lineRule="auto"/>
        <w:jc w:val="both"/>
      </w:pPr>
      <w:proofErr w:type="spellStart"/>
      <w:r w:rsidRPr="0039436E">
        <w:rPr>
          <w:highlight w:val="green"/>
        </w:rPr>
        <w:lastRenderedPageBreak/>
        <w:t>Syntophyllin</w:t>
      </w:r>
      <w:proofErr w:type="spellEnd"/>
      <w:r>
        <w:t xml:space="preserve"> (</w:t>
      </w:r>
      <w:proofErr w:type="spellStart"/>
      <w:r>
        <w:t>Aminophyllinum</w:t>
      </w:r>
      <w:proofErr w:type="spellEnd"/>
      <w:r>
        <w:t xml:space="preserve"> 240 mg, tj. </w:t>
      </w:r>
      <w:proofErr w:type="spellStart"/>
      <w:r>
        <w:t>theophyllinum</w:t>
      </w:r>
      <w:proofErr w:type="spellEnd"/>
      <w:r>
        <w:t xml:space="preserve"> </w:t>
      </w:r>
      <w:proofErr w:type="spellStart"/>
      <w:r>
        <w:t>monohydricum</w:t>
      </w:r>
      <w:proofErr w:type="spellEnd"/>
      <w:r>
        <w:t xml:space="preserve"> 205,7 mg) v 10 ml</w:t>
      </w:r>
    </w:p>
    <w:p w:rsidR="001D6A5D" w:rsidRDefault="001D6A5D" w:rsidP="001D6A5D">
      <w:pPr>
        <w:spacing w:line="360" w:lineRule="auto"/>
        <w:jc w:val="both"/>
      </w:pPr>
      <w:r>
        <w:rPr>
          <w:noProof/>
        </w:rPr>
        <w:drawing>
          <wp:anchor distT="0" distB="0" distL="114300" distR="114300" simplePos="0" relativeHeight="251668480" behindDoc="1" locked="0" layoutInCell="1" allowOverlap="1">
            <wp:simplePos x="0" y="0"/>
            <wp:positionH relativeFrom="column">
              <wp:posOffset>29210</wp:posOffset>
            </wp:positionH>
            <wp:positionV relativeFrom="paragraph">
              <wp:posOffset>156210</wp:posOffset>
            </wp:positionV>
            <wp:extent cx="2552700" cy="2552700"/>
            <wp:effectExtent l="0" t="0" r="0" b="0"/>
            <wp:wrapTight wrapText="bothSides">
              <wp:wrapPolygon edited="0">
                <wp:start x="0" y="0"/>
                <wp:lineTo x="0" y="21439"/>
                <wp:lineTo x="21439" y="21439"/>
                <wp:lineTo x="21439" y="0"/>
                <wp:lineTo x="0" y="0"/>
              </wp:wrapPolygon>
            </wp:wrapTight>
            <wp:docPr id="6" name="Obrázek 6" descr="http://www.dinarin.cz/out/pictures/z1/syntophyllininj5x10ml240mg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narin.cz/out/pictures/z1/syntophyllininj5x10ml240mg_z1.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A5D" w:rsidRDefault="001D6A5D" w:rsidP="001D6A5D">
      <w:pPr>
        <w:spacing w:line="360" w:lineRule="auto"/>
        <w:jc w:val="both"/>
      </w:pPr>
      <w:proofErr w:type="spellStart"/>
      <w:r>
        <w:t>Syntophyllin</w:t>
      </w:r>
      <w:proofErr w:type="spellEnd"/>
      <w:r>
        <w:t xml:space="preserve"> injekce obsahují </w:t>
      </w:r>
      <w:proofErr w:type="gramStart"/>
      <w:r>
        <w:t>aminofylin,.</w:t>
      </w:r>
      <w:proofErr w:type="gramEnd"/>
      <w:r>
        <w:t xml:space="preserve"> vlastní účinek je způsoben </w:t>
      </w:r>
      <w:proofErr w:type="spellStart"/>
      <w:r>
        <w:t>theofylinem</w:t>
      </w:r>
      <w:proofErr w:type="spellEnd"/>
      <w:r>
        <w:t xml:space="preserve">. Má bronchodilatační účinek, působí stimulačně na dechové centrum, zvyšuje frekvenci a sílu srdečních kontrakcí, má slabý diuretický účinek, stimuluje CNS a zvyšuje žaludeční sekreci. Přípravek je určen k léčbě </w:t>
      </w:r>
      <w:proofErr w:type="spellStart"/>
      <w:r>
        <w:t>asthma</w:t>
      </w:r>
      <w:proofErr w:type="spellEnd"/>
      <w:r>
        <w:t xml:space="preserve"> </w:t>
      </w:r>
      <w:proofErr w:type="spellStart"/>
      <w:r>
        <w:t>bronchiale</w:t>
      </w:r>
      <w:proofErr w:type="spellEnd"/>
      <w:r>
        <w:t>, chronické obstrukční plicní nemoci, idiopatické apnoi novorozenců. Přípravek je určen k léčbě dospělých i dětí.</w:t>
      </w:r>
    </w:p>
    <w:p w:rsidR="001D6A5D" w:rsidRDefault="001D6A5D" w:rsidP="001D6A5D">
      <w:pPr>
        <w:spacing w:line="360" w:lineRule="auto"/>
        <w:jc w:val="both"/>
      </w:pPr>
      <w:r>
        <w:t xml:space="preserve">Mezi </w:t>
      </w:r>
      <w:r w:rsidRPr="00165B2F">
        <w:rPr>
          <w:b/>
        </w:rPr>
        <w:t>kontraindikace</w:t>
      </w:r>
      <w:r>
        <w:t xml:space="preserve"> patří intoxikace přípravky obsahujícími </w:t>
      </w:r>
      <w:proofErr w:type="spellStart"/>
      <w:r>
        <w:t>theofylin</w:t>
      </w:r>
      <w:proofErr w:type="spellEnd"/>
      <w:r>
        <w:t xml:space="preserve"> (často perorálně užívající u pacientů s CHOPN), přecitlivělost na </w:t>
      </w:r>
      <w:proofErr w:type="spellStart"/>
      <w:r>
        <w:t>theofylin</w:t>
      </w:r>
      <w:proofErr w:type="spellEnd"/>
      <w:r>
        <w:t xml:space="preserve"> a </w:t>
      </w:r>
      <w:proofErr w:type="spellStart"/>
      <w:r>
        <w:t>edamin</w:t>
      </w:r>
      <w:proofErr w:type="spellEnd"/>
      <w:r>
        <w:t xml:space="preserve">, tyreotoxikóza, těžká insuficience jater, </w:t>
      </w:r>
      <w:proofErr w:type="spellStart"/>
      <w:r>
        <w:t>tachydysrytmie</w:t>
      </w:r>
      <w:proofErr w:type="spellEnd"/>
      <w:r>
        <w:t xml:space="preserve">, akutní infarkt myokardu, epilepsie. Při současném užívání perorálního přípravku s obsahem </w:t>
      </w:r>
      <w:proofErr w:type="spellStart"/>
      <w:r>
        <w:t>theofylinu</w:t>
      </w:r>
      <w:proofErr w:type="spellEnd"/>
      <w:r>
        <w:t xml:space="preserve"> je nutno dávku snížit o množství, jež se už podalo jinou aplikační cestou (pro úzký terapeutický rozsah). </w:t>
      </w:r>
      <w:proofErr w:type="spellStart"/>
      <w:r>
        <w:t>Syntophyllin</w:t>
      </w:r>
      <w:proofErr w:type="spellEnd"/>
      <w:r>
        <w:t xml:space="preserve"> se nepodává intramuskulárně. Při astmatickém záchvatu je použití </w:t>
      </w:r>
      <w:proofErr w:type="spellStart"/>
      <w:r>
        <w:t>Syntophyllinu</w:t>
      </w:r>
      <w:proofErr w:type="spellEnd"/>
      <w:r>
        <w:t xml:space="preserve"> dalším stupněm komplexní léčby, což zahrnuje aplikaci kyslíku, inhalační cestou krátce účinkující </w:t>
      </w:r>
      <w:proofErr w:type="spellStart"/>
      <w:r>
        <w:t>betamimetika</w:t>
      </w:r>
      <w:proofErr w:type="spellEnd"/>
      <w:r>
        <w:t xml:space="preserve">, kortikosteroidy, subkutánní podání </w:t>
      </w:r>
      <w:proofErr w:type="spellStart"/>
      <w:r>
        <w:t>betamimetika</w:t>
      </w:r>
      <w:proofErr w:type="spellEnd"/>
      <w:r>
        <w:t xml:space="preserve">. Při nedostatečném účinku úvodní dávky </w:t>
      </w:r>
      <w:proofErr w:type="spellStart"/>
      <w:r>
        <w:t>Syntophyllinu</w:t>
      </w:r>
      <w:proofErr w:type="spellEnd"/>
      <w:r>
        <w:t xml:space="preserve"> se podává </w:t>
      </w:r>
      <w:proofErr w:type="spellStart"/>
      <w:r>
        <w:t>betamimetikum</w:t>
      </w:r>
      <w:proofErr w:type="spellEnd"/>
      <w:r>
        <w:t xml:space="preserve"> v infuzi.</w:t>
      </w:r>
    </w:p>
    <w:p w:rsidR="001D6A5D" w:rsidRDefault="001D6A5D">
      <w:pPr>
        <w:spacing w:after="160" w:line="259" w:lineRule="auto"/>
      </w:pPr>
      <w:r>
        <w:br w:type="page"/>
      </w:r>
    </w:p>
    <w:p w:rsidR="001D6A5D" w:rsidRDefault="001D6A5D" w:rsidP="001D6A5D">
      <w:pPr>
        <w:spacing w:line="360" w:lineRule="auto"/>
        <w:rPr>
          <w:u w:val="single"/>
        </w:rPr>
      </w:pPr>
      <w:proofErr w:type="spellStart"/>
      <w:proofErr w:type="gramStart"/>
      <w:r>
        <w:rPr>
          <w:highlight w:val="green"/>
          <w:u w:val="single"/>
        </w:rPr>
        <w:lastRenderedPageBreak/>
        <w:t>Rectodelt</w:t>
      </w:r>
      <w:proofErr w:type="spellEnd"/>
      <w:r>
        <w:rPr>
          <w:highlight w:val="green"/>
          <w:u w:val="single"/>
        </w:rPr>
        <w:t xml:space="preserve">  100</w:t>
      </w:r>
      <w:proofErr w:type="gramEnd"/>
      <w:r>
        <w:rPr>
          <w:highlight w:val="green"/>
          <w:u w:val="single"/>
        </w:rPr>
        <w:t xml:space="preserve"> mg</w:t>
      </w:r>
      <w:r>
        <w:rPr>
          <w:u w:val="single"/>
        </w:rPr>
        <w:t xml:space="preserve"> (</w:t>
      </w:r>
      <w:proofErr w:type="spellStart"/>
      <w:r>
        <w:rPr>
          <w:u w:val="single"/>
        </w:rPr>
        <w:t>prednisonum</w:t>
      </w:r>
      <w:proofErr w:type="spellEnd"/>
      <w:r>
        <w:rPr>
          <w:u w:val="single"/>
        </w:rPr>
        <w:t xml:space="preserve">) rektální čípky </w:t>
      </w:r>
    </w:p>
    <w:p w:rsidR="001D6A5D" w:rsidRDefault="001D6A5D" w:rsidP="001D6A5D">
      <w:pPr>
        <w:spacing w:line="360" w:lineRule="auto"/>
        <w:jc w:val="both"/>
      </w:pPr>
      <w:r>
        <w:rPr>
          <w:noProof/>
        </w:rPr>
        <w:drawing>
          <wp:anchor distT="0" distB="0" distL="114300" distR="114300" simplePos="0" relativeHeight="251670528" behindDoc="1" locked="0" layoutInCell="1" allowOverlap="1">
            <wp:simplePos x="0" y="0"/>
            <wp:positionH relativeFrom="column">
              <wp:posOffset>-43180</wp:posOffset>
            </wp:positionH>
            <wp:positionV relativeFrom="paragraph">
              <wp:posOffset>50800</wp:posOffset>
            </wp:positionV>
            <wp:extent cx="2858135" cy="2320290"/>
            <wp:effectExtent l="0" t="0" r="0" b="3810"/>
            <wp:wrapTight wrapText="bothSides">
              <wp:wrapPolygon edited="0">
                <wp:start x="0" y="0"/>
                <wp:lineTo x="0" y="21458"/>
                <wp:lineTo x="21451" y="21458"/>
                <wp:lineTo x="21451"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8135" cy="2320290"/>
                    </a:xfrm>
                    <a:prstGeom prst="rect">
                      <a:avLst/>
                    </a:prstGeom>
                    <a:noFill/>
                  </pic:spPr>
                </pic:pic>
              </a:graphicData>
            </a:graphic>
            <wp14:sizeRelH relativeFrom="page">
              <wp14:pctWidth>0</wp14:pctWidth>
            </wp14:sizeRelH>
            <wp14:sizeRelV relativeFrom="page">
              <wp14:pctHeight>0</wp14:pctHeight>
            </wp14:sizeRelV>
          </wp:anchor>
        </w:drawing>
      </w:r>
      <w:r>
        <w:t xml:space="preserve">Syntetický kortikoid v čípkové formě. Používá se především pro své protizánětlivé, protialergické, </w:t>
      </w:r>
      <w:proofErr w:type="spellStart"/>
      <w:r>
        <w:t>antiedematozní</w:t>
      </w:r>
      <w:proofErr w:type="spellEnd"/>
      <w:r>
        <w:t xml:space="preserve"> (zabraňující otokům) a imunosupresivní (potlačující imunitu) účinky. </w:t>
      </w:r>
    </w:p>
    <w:p w:rsidR="001D6A5D" w:rsidRDefault="001D6A5D" w:rsidP="001D6A5D">
      <w:pPr>
        <w:spacing w:line="360" w:lineRule="auto"/>
        <w:jc w:val="both"/>
      </w:pPr>
      <w:r>
        <w:rPr>
          <w:b/>
        </w:rPr>
        <w:t>U dětí se čípky</w:t>
      </w:r>
      <w:r>
        <w:t xml:space="preserve"> </w:t>
      </w:r>
      <w:proofErr w:type="spellStart"/>
      <w:r>
        <w:t>Rectodelt</w:t>
      </w:r>
      <w:proofErr w:type="spellEnd"/>
      <w:r>
        <w:t xml:space="preserve"> 100 mg používají zejména při léčení akutního zánětlivého otoku hrtanu (</w:t>
      </w:r>
      <w:proofErr w:type="spellStart"/>
      <w:r>
        <w:t>subglotická</w:t>
      </w:r>
      <w:proofErr w:type="spellEnd"/>
      <w:r>
        <w:t xml:space="preserve"> laryngitida) a zánětu průdušek (spastická bronchitida).</w:t>
      </w:r>
    </w:p>
    <w:p w:rsidR="001D6A5D" w:rsidRDefault="001D6A5D" w:rsidP="001D6A5D">
      <w:pPr>
        <w:spacing w:line="360" w:lineRule="auto"/>
        <w:jc w:val="both"/>
      </w:pPr>
      <w:r>
        <w:t xml:space="preserve">Pokud není stanoveno jinak, obnáší počáteční dávka u </w:t>
      </w:r>
      <w:proofErr w:type="spellStart"/>
      <w:r>
        <w:t>preakutních</w:t>
      </w:r>
      <w:proofErr w:type="spellEnd"/>
      <w:r>
        <w:t xml:space="preserve"> a život ohrožujících stavů </w:t>
      </w:r>
      <w:proofErr w:type="gramStart"/>
      <w:r>
        <w:t>100 - 200</w:t>
      </w:r>
      <w:proofErr w:type="gramEnd"/>
      <w:r>
        <w:t xml:space="preserve"> mg </w:t>
      </w:r>
      <w:proofErr w:type="spellStart"/>
      <w:r>
        <w:t>prednisonu</w:t>
      </w:r>
      <w:proofErr w:type="spellEnd"/>
      <w:r>
        <w:t xml:space="preserve"> denně, u akutních onemocnění maximálně 100 mg </w:t>
      </w:r>
      <w:proofErr w:type="spellStart"/>
      <w:r>
        <w:t>prednisonu</w:t>
      </w:r>
      <w:proofErr w:type="spellEnd"/>
      <w:r>
        <w:t xml:space="preserve"> denně. </w:t>
      </w:r>
      <w:r>
        <w:rPr>
          <w:b/>
        </w:rPr>
        <w:t>Dětem</w:t>
      </w:r>
      <w:r>
        <w:t xml:space="preserve"> se podává při akutní </w:t>
      </w:r>
      <w:proofErr w:type="spellStart"/>
      <w:r>
        <w:t>subglotické</w:t>
      </w:r>
      <w:proofErr w:type="spellEnd"/>
      <w:r>
        <w:t xml:space="preserve"> </w:t>
      </w:r>
      <w:proofErr w:type="spellStart"/>
      <w:r>
        <w:t>laryngotracheitidě</w:t>
      </w:r>
      <w:proofErr w:type="spellEnd"/>
      <w:r>
        <w:t xml:space="preserve">, záškrtu a spastickém zánětu průdušek provázeném akutní dušností 100 mg </w:t>
      </w:r>
      <w:proofErr w:type="spellStart"/>
      <w:r>
        <w:t>prednisonu</w:t>
      </w:r>
      <w:proofErr w:type="spellEnd"/>
      <w:r>
        <w:t xml:space="preserve"> jednorázově.</w:t>
      </w:r>
    </w:p>
    <w:p w:rsidR="001D6A5D" w:rsidRDefault="001D6A5D" w:rsidP="001D6A5D">
      <w:pPr>
        <w:spacing w:line="360" w:lineRule="auto"/>
        <w:jc w:val="both"/>
        <w:rPr>
          <w:b/>
        </w:rPr>
      </w:pPr>
    </w:p>
    <w:p w:rsidR="001D6A5D" w:rsidRDefault="001D6A5D" w:rsidP="001D6A5D">
      <w:pPr>
        <w:spacing w:line="360" w:lineRule="auto"/>
        <w:jc w:val="both"/>
        <w:rPr>
          <w:b/>
        </w:rPr>
      </w:pPr>
      <w:r>
        <w:rPr>
          <w:b/>
        </w:rPr>
        <w:t xml:space="preserve">Kontraindikacemi </w:t>
      </w:r>
      <w:proofErr w:type="spellStart"/>
      <w:r>
        <w:rPr>
          <w:b/>
        </w:rPr>
        <w:t>prednisonu</w:t>
      </w:r>
      <w:proofErr w:type="spellEnd"/>
      <w:r>
        <w:rPr>
          <w:b/>
        </w:rPr>
        <w:t xml:space="preserve"> jsou:</w:t>
      </w:r>
    </w:p>
    <w:p w:rsidR="001D6A5D" w:rsidRDefault="001D6A5D" w:rsidP="001D6A5D">
      <w:pPr>
        <w:numPr>
          <w:ilvl w:val="0"/>
          <w:numId w:val="4"/>
        </w:numPr>
        <w:spacing w:line="360" w:lineRule="auto"/>
        <w:jc w:val="both"/>
      </w:pPr>
      <w:r>
        <w:t xml:space="preserve">alergie na léčivou látku </w:t>
      </w:r>
    </w:p>
    <w:p w:rsidR="001D6A5D" w:rsidRDefault="001D6A5D" w:rsidP="001D6A5D">
      <w:pPr>
        <w:numPr>
          <w:ilvl w:val="0"/>
          <w:numId w:val="4"/>
        </w:numPr>
        <w:spacing w:line="360" w:lineRule="auto"/>
        <w:jc w:val="both"/>
      </w:pPr>
      <w:r>
        <w:t xml:space="preserve">akutní žaludeční nebo dvanáctníkové vředy </w:t>
      </w:r>
    </w:p>
    <w:p w:rsidR="001D6A5D" w:rsidRDefault="001D6A5D" w:rsidP="001D6A5D">
      <w:pPr>
        <w:numPr>
          <w:ilvl w:val="0"/>
          <w:numId w:val="4"/>
        </w:numPr>
        <w:spacing w:line="360" w:lineRule="auto"/>
        <w:jc w:val="both"/>
      </w:pPr>
      <w:r>
        <w:t>zelený zákal (glaukom s ostrým a tupým úhlem)</w:t>
      </w:r>
    </w:p>
    <w:p w:rsidR="001D6A5D" w:rsidRDefault="001D6A5D" w:rsidP="001D6A5D">
      <w:pPr>
        <w:numPr>
          <w:ilvl w:val="0"/>
          <w:numId w:val="4"/>
        </w:numPr>
        <w:spacing w:line="360" w:lineRule="auto"/>
        <w:jc w:val="both"/>
      </w:pPr>
      <w:r>
        <w:t>jestliže máte zánět uzlin po očkování proti tuberkulóze</w:t>
      </w:r>
    </w:p>
    <w:p w:rsidR="001D6A5D" w:rsidRDefault="001D6A5D" w:rsidP="001D6A5D">
      <w:pPr>
        <w:numPr>
          <w:ilvl w:val="0"/>
          <w:numId w:val="4"/>
        </w:numPr>
        <w:spacing w:line="360" w:lineRule="auto"/>
        <w:jc w:val="both"/>
      </w:pPr>
      <w:r>
        <w:t>jestliže máte nestabilní cukrovku</w:t>
      </w:r>
    </w:p>
    <w:p w:rsidR="001D6A5D" w:rsidRDefault="001D6A5D" w:rsidP="001D6A5D">
      <w:pPr>
        <w:numPr>
          <w:ilvl w:val="0"/>
          <w:numId w:val="4"/>
        </w:numPr>
        <w:spacing w:line="360" w:lineRule="auto"/>
        <w:jc w:val="both"/>
      </w:pPr>
      <w:r>
        <w:t>podezření na náhlou příhodu břišní</w:t>
      </w:r>
    </w:p>
    <w:p w:rsidR="001D6A5D" w:rsidRDefault="001D6A5D" w:rsidP="001D6A5D">
      <w:pPr>
        <w:spacing w:line="360" w:lineRule="auto"/>
        <w:ind w:left="720"/>
        <w:jc w:val="both"/>
        <w:rPr>
          <w:b/>
        </w:rPr>
      </w:pPr>
    </w:p>
    <w:p w:rsidR="001D6A5D" w:rsidRDefault="001D6A5D" w:rsidP="001D6A5D">
      <w:pPr>
        <w:spacing w:line="360" w:lineRule="auto"/>
        <w:jc w:val="both"/>
      </w:pPr>
      <w:r>
        <w:t xml:space="preserve">Současným podáním salicylátů nebo nesteroidních antirevmatik se může zvýšit náchylnost ke krvácení do zažívacího traktu. Současná aplikace srdečních glykosidů může vést na základě steroidy podmíněného vylučování draslíku ke zvýšení toxicity srdečních glykosidů. Při současném podávání diuretik je třeba počítat se zvýšeným vylučováním draslíku. Účinek </w:t>
      </w:r>
      <w:proofErr w:type="spellStart"/>
      <w:r>
        <w:t>antidiabetik</w:t>
      </w:r>
      <w:proofErr w:type="spellEnd"/>
      <w:r>
        <w:t xml:space="preserve"> nebo kumarinových derivátů se může zeslabit.</w:t>
      </w:r>
    </w:p>
    <w:p w:rsidR="001D6A5D" w:rsidRDefault="001D6A5D" w:rsidP="001D6A5D">
      <w:pPr>
        <w:spacing w:line="360" w:lineRule="auto"/>
        <w:jc w:val="both"/>
      </w:pPr>
    </w:p>
    <w:p w:rsidR="001D6A5D" w:rsidRDefault="001D6A5D" w:rsidP="001D6A5D">
      <w:pPr>
        <w:spacing w:line="360" w:lineRule="auto"/>
        <w:jc w:val="both"/>
        <w:rPr>
          <w:b/>
        </w:rPr>
      </w:pPr>
      <w:r>
        <w:rPr>
          <w:b/>
        </w:rPr>
        <w:t>Při krátkodobé léčbě (1-2 dny) u kritických stavů nejsou známy žádné kontraindikace. Jedná-li se o použití přípravku ve vitální indikaci (záchraně života), jsou všechny kontraindikace pouze relativní.</w:t>
      </w:r>
    </w:p>
    <w:p w:rsidR="001D6A5D" w:rsidRDefault="001D6A5D" w:rsidP="001D6A5D">
      <w:pPr>
        <w:spacing w:line="360" w:lineRule="auto"/>
        <w:jc w:val="both"/>
      </w:pPr>
      <w:r>
        <w:lastRenderedPageBreak/>
        <w:t xml:space="preserve">Při delší době užívání kortikoidů (což se ale v krátkodobé léčbě nevyskytuje) se mohou rozvinout projevy </w:t>
      </w:r>
      <w:proofErr w:type="spellStart"/>
      <w:r>
        <w:t>Cushingova</w:t>
      </w:r>
      <w:proofErr w:type="spellEnd"/>
      <w:r>
        <w:t xml:space="preserve"> syndromu s měsícovitým obličejem, otylostí, vysokým krevním tlakem a osteoporózou (úbytek kostní tkáně). Dále se mohou vyvolat diabetické poruchy látkové výměny a mohou se objevit myopatie (onemocnění svalů), žaludeční, případně dvanáctníkové vředy, psychické poruchy, snížení imunity.</w:t>
      </w:r>
    </w:p>
    <w:p w:rsidR="001D6A5D" w:rsidRDefault="001D6A5D"/>
    <w:p w:rsidR="001D6A5D" w:rsidRDefault="001D6A5D" w:rsidP="001D6A5D">
      <w:pPr>
        <w:pStyle w:val="Default"/>
        <w:spacing w:line="360" w:lineRule="auto"/>
      </w:pPr>
      <w:proofErr w:type="spellStart"/>
      <w:r>
        <w:rPr>
          <w:highlight w:val="green"/>
        </w:rPr>
        <w:t>Dexamed</w:t>
      </w:r>
      <w:proofErr w:type="spellEnd"/>
      <w:r>
        <w:t xml:space="preserve"> (1 </w:t>
      </w:r>
      <w:proofErr w:type="spellStart"/>
      <w:r>
        <w:t>amp</w:t>
      </w:r>
      <w:proofErr w:type="spellEnd"/>
      <w:r>
        <w:t xml:space="preserve">. obsahuje 2 ml obsahuje </w:t>
      </w:r>
      <w:proofErr w:type="spellStart"/>
      <w:r>
        <w:t>dexamethasoni</w:t>
      </w:r>
      <w:proofErr w:type="spellEnd"/>
      <w:r>
        <w:t xml:space="preserve"> </w:t>
      </w:r>
      <w:proofErr w:type="spellStart"/>
      <w:r>
        <w:t>dihydrogenophosphas</w:t>
      </w:r>
      <w:proofErr w:type="spellEnd"/>
      <w:r>
        <w:t xml:space="preserve"> 8 mg) </w:t>
      </w:r>
    </w:p>
    <w:p w:rsidR="001D6A5D" w:rsidRDefault="001D6A5D" w:rsidP="001D6A5D">
      <w:pPr>
        <w:pStyle w:val="Default"/>
        <w:spacing w:line="360" w:lineRule="auto"/>
        <w:jc w:val="both"/>
      </w:pPr>
      <w:r>
        <w:rPr>
          <w:noProof/>
        </w:rPr>
        <w:drawing>
          <wp:anchor distT="0" distB="0" distL="114300" distR="114300" simplePos="0" relativeHeight="251672576" behindDoc="1" locked="0" layoutInCell="1" allowOverlap="1">
            <wp:simplePos x="0" y="0"/>
            <wp:positionH relativeFrom="column">
              <wp:posOffset>-4445</wp:posOffset>
            </wp:positionH>
            <wp:positionV relativeFrom="paragraph">
              <wp:posOffset>864235</wp:posOffset>
            </wp:positionV>
            <wp:extent cx="2752725" cy="2554605"/>
            <wp:effectExtent l="0" t="0" r="9525" b="0"/>
            <wp:wrapTight wrapText="bothSides">
              <wp:wrapPolygon edited="0">
                <wp:start x="0" y="0"/>
                <wp:lineTo x="0" y="21423"/>
                <wp:lineTo x="21525" y="21423"/>
                <wp:lineTo x="21525"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255460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Dexamethason</w:t>
      </w:r>
      <w:proofErr w:type="spellEnd"/>
      <w:r>
        <w:t xml:space="preserve"> je syntetický glukokortikoid (hormon) s protizánětlivým účinkem. Je určen pro všechny formy celkové i místní injekční terapie glukokortikoidy i pro akutní případy, kdy </w:t>
      </w:r>
      <w:proofErr w:type="spellStart"/>
      <w:r>
        <w:t>i.v</w:t>
      </w:r>
      <w:proofErr w:type="spellEnd"/>
      <w:r>
        <w:t>. podání glukokortikoidů může být život zachraňujícím výkonem:</w:t>
      </w:r>
    </w:p>
    <w:p w:rsidR="001D6A5D" w:rsidRDefault="001D6A5D" w:rsidP="001D6A5D">
      <w:pPr>
        <w:pStyle w:val="Default"/>
        <w:numPr>
          <w:ilvl w:val="0"/>
          <w:numId w:val="5"/>
        </w:numPr>
        <w:spacing w:line="360" w:lineRule="auto"/>
        <w:jc w:val="both"/>
      </w:pPr>
      <w:r>
        <w:t>alergie, astma, edém laryngu</w:t>
      </w:r>
    </w:p>
    <w:p w:rsidR="001D6A5D" w:rsidRDefault="001D6A5D" w:rsidP="001D6A5D">
      <w:pPr>
        <w:pStyle w:val="Default"/>
        <w:numPr>
          <w:ilvl w:val="0"/>
          <w:numId w:val="5"/>
        </w:numPr>
        <w:spacing w:line="360" w:lineRule="auto"/>
        <w:jc w:val="both"/>
      </w:pPr>
      <w:r>
        <w:t>infekce, doplňková léčba šokových stavů</w:t>
      </w:r>
    </w:p>
    <w:p w:rsidR="001D6A5D" w:rsidRDefault="001D6A5D" w:rsidP="001D6A5D">
      <w:pPr>
        <w:pStyle w:val="Default"/>
        <w:numPr>
          <w:ilvl w:val="0"/>
          <w:numId w:val="5"/>
        </w:numPr>
        <w:spacing w:line="360" w:lineRule="auto"/>
        <w:jc w:val="both"/>
      </w:pPr>
      <w:r>
        <w:t>úrazové stavy s rizikem edému</w:t>
      </w:r>
    </w:p>
    <w:p w:rsidR="001D6A5D" w:rsidRDefault="001D6A5D" w:rsidP="001D6A5D">
      <w:pPr>
        <w:pStyle w:val="Default"/>
        <w:spacing w:line="360" w:lineRule="auto"/>
        <w:jc w:val="both"/>
      </w:pPr>
      <w:r>
        <w:t>Pokud použití glukokortikoidů může být život zachraňující, na kontraindikace se obvykle nebere zřetel.</w:t>
      </w:r>
    </w:p>
    <w:p w:rsidR="001D6A5D" w:rsidRDefault="001D6A5D"/>
    <w:p w:rsidR="001D6A5D" w:rsidRDefault="001D6A5D"/>
    <w:p w:rsidR="001D6A5D" w:rsidRDefault="001D6A5D"/>
    <w:p w:rsidR="001D6A5D" w:rsidRDefault="001D6A5D"/>
    <w:p w:rsidR="001D6A5D" w:rsidRDefault="001D6A5D"/>
    <w:p w:rsidR="001D6A5D" w:rsidRDefault="001D6A5D"/>
    <w:p w:rsidR="001D6A5D" w:rsidRDefault="001D6A5D"/>
    <w:p w:rsidR="001D6A5D" w:rsidRDefault="001D6A5D"/>
    <w:p w:rsidR="001D6A5D" w:rsidRDefault="001D6A5D"/>
    <w:p w:rsidR="001D6A5D" w:rsidRDefault="001D6A5D" w:rsidP="001D6A5D">
      <w:pPr>
        <w:spacing w:line="360" w:lineRule="auto"/>
      </w:pPr>
      <w:r>
        <w:rPr>
          <w:noProof/>
        </w:rPr>
        <w:drawing>
          <wp:anchor distT="0" distB="0" distL="114300" distR="114300" simplePos="0" relativeHeight="251674624" behindDoc="1" locked="0" layoutInCell="1" allowOverlap="1">
            <wp:simplePos x="0" y="0"/>
            <wp:positionH relativeFrom="column">
              <wp:posOffset>-110490</wp:posOffset>
            </wp:positionH>
            <wp:positionV relativeFrom="paragraph">
              <wp:posOffset>52705</wp:posOffset>
            </wp:positionV>
            <wp:extent cx="1892300" cy="2501900"/>
            <wp:effectExtent l="0" t="0" r="0" b="0"/>
            <wp:wrapTight wrapText="bothSides">
              <wp:wrapPolygon edited="0">
                <wp:start x="0" y="0"/>
                <wp:lineTo x="0" y="21381"/>
                <wp:lineTo x="21310" y="21381"/>
                <wp:lineTo x="21310"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0" cy="25019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highlight w:val="green"/>
        </w:rPr>
        <w:t>Solu-Medrol</w:t>
      </w:r>
      <w:proofErr w:type="spellEnd"/>
      <w:r>
        <w:rPr>
          <w:highlight w:val="green"/>
        </w:rPr>
        <w:t xml:space="preserve"> 62,5 mg/ml</w:t>
      </w:r>
      <w:r>
        <w:t xml:space="preserve"> (</w:t>
      </w:r>
      <w:proofErr w:type="spellStart"/>
      <w:r>
        <w:t>methylprednisolonum</w:t>
      </w:r>
      <w:proofErr w:type="spellEnd"/>
      <w:r>
        <w:t xml:space="preserve"> 250 mg ve 4 ml roztoku)</w:t>
      </w:r>
    </w:p>
    <w:p w:rsidR="001D6A5D" w:rsidRDefault="001D6A5D" w:rsidP="001D6A5D">
      <w:pPr>
        <w:spacing w:line="360" w:lineRule="auto"/>
      </w:pPr>
    </w:p>
    <w:p w:rsidR="001D6A5D" w:rsidRDefault="001D6A5D" w:rsidP="001D6A5D">
      <w:pPr>
        <w:spacing w:line="360" w:lineRule="auto"/>
        <w:jc w:val="both"/>
      </w:pPr>
      <w:proofErr w:type="spellStart"/>
      <w:r>
        <w:t>Methylprednisolon</w:t>
      </w:r>
      <w:proofErr w:type="spellEnd"/>
      <w:r>
        <w:t xml:space="preserve"> je silný protizánětlivý steroid. Vykazuje vyšší protizánětlivou aktivitu než </w:t>
      </w:r>
      <w:proofErr w:type="spellStart"/>
      <w:r>
        <w:t>prednisolon</w:t>
      </w:r>
      <w:proofErr w:type="spellEnd"/>
      <w:r>
        <w:t xml:space="preserve"> a má menší tendenci zadržovat sodík a vodu. Mezi hlavní terapeutické indikace patří alergické reakce, stavy dušnosti, edémy a akutní poranění páteře. Kontraindikacemi pro PNP je přecitlivělost na </w:t>
      </w:r>
      <w:proofErr w:type="spellStart"/>
      <w:r>
        <w:t>metylprednisolon</w:t>
      </w:r>
      <w:proofErr w:type="spellEnd"/>
      <w:r>
        <w:t xml:space="preserve">. </w:t>
      </w:r>
      <w:proofErr w:type="spellStart"/>
      <w:r>
        <w:t>Methylprednisolon</w:t>
      </w:r>
      <w:proofErr w:type="spellEnd"/>
      <w:r>
        <w:t xml:space="preserve"> může </w:t>
      </w:r>
      <w:proofErr w:type="spellStart"/>
      <w:r>
        <w:t>zvýšovat</w:t>
      </w:r>
      <w:proofErr w:type="spellEnd"/>
      <w:r>
        <w:t xml:space="preserve"> hladinu glukózy v krvi, zhoršit již existující diabetes a učinit náchylným na diabetes </w:t>
      </w:r>
      <w:proofErr w:type="spellStart"/>
      <w:r>
        <w:t>mellitus</w:t>
      </w:r>
      <w:proofErr w:type="spellEnd"/>
      <w:r>
        <w:t xml:space="preserve"> pacienty dlouhodobě léčené</w:t>
      </w:r>
    </w:p>
    <w:p w:rsidR="001D6A5D" w:rsidRDefault="001D6A5D" w:rsidP="001D6A5D">
      <w:pPr>
        <w:spacing w:line="360" w:lineRule="auto"/>
        <w:jc w:val="both"/>
      </w:pPr>
      <w:r>
        <w:t xml:space="preserve">kortikosteroidy. </w:t>
      </w:r>
    </w:p>
    <w:p w:rsidR="001D6A5D" w:rsidRDefault="001D6A5D" w:rsidP="001D6A5D">
      <w:pPr>
        <w:pStyle w:val="Default"/>
        <w:spacing w:line="360" w:lineRule="auto"/>
      </w:pPr>
      <w:proofErr w:type="spellStart"/>
      <w:r>
        <w:rPr>
          <w:highlight w:val="green"/>
        </w:rPr>
        <w:lastRenderedPageBreak/>
        <w:t>Exacyl</w:t>
      </w:r>
      <w:proofErr w:type="spellEnd"/>
      <w:r>
        <w:rPr>
          <w:highlight w:val="green"/>
        </w:rPr>
        <w:t xml:space="preserve"> </w:t>
      </w:r>
      <w:r w:rsidRPr="008265A2">
        <w:t>(</w:t>
      </w:r>
      <w:proofErr w:type="spellStart"/>
      <w:r w:rsidRPr="008265A2">
        <w:t>acidum</w:t>
      </w:r>
      <w:proofErr w:type="spellEnd"/>
      <w:r w:rsidRPr="008265A2">
        <w:t xml:space="preserve"> </w:t>
      </w:r>
      <w:proofErr w:type="spellStart"/>
      <w:r w:rsidRPr="008265A2">
        <w:t>tranexamicum</w:t>
      </w:r>
      <w:proofErr w:type="spellEnd"/>
      <w:r>
        <w:t xml:space="preserve"> </w:t>
      </w:r>
      <w:smartTag w:uri="urn:schemas-microsoft-com:office:smarttags" w:element="metricconverter">
        <w:smartTagPr>
          <w:attr w:name="ProductID" w:val="0,5 g"/>
        </w:smartTagPr>
        <w:r>
          <w:t>0,5 g</w:t>
        </w:r>
      </w:smartTag>
      <w:r>
        <w:t xml:space="preserve"> v ampuli s obsahem </w:t>
      </w:r>
      <w:r w:rsidRPr="008265A2">
        <w:t>5 ml</w:t>
      </w:r>
      <w:r>
        <w:t>)</w:t>
      </w:r>
    </w:p>
    <w:p w:rsidR="001D6A5D" w:rsidRDefault="001D6A5D" w:rsidP="001D6A5D">
      <w:pPr>
        <w:pStyle w:val="Default"/>
        <w:spacing w:line="360" w:lineRule="auto"/>
      </w:pPr>
      <w:r>
        <w:rPr>
          <w:noProof/>
        </w:rPr>
        <w:drawing>
          <wp:anchor distT="0" distB="0" distL="114300" distR="114300" simplePos="0" relativeHeight="251676672" behindDoc="1" locked="0" layoutInCell="1" allowOverlap="1">
            <wp:simplePos x="0" y="0"/>
            <wp:positionH relativeFrom="column">
              <wp:posOffset>3329305</wp:posOffset>
            </wp:positionH>
            <wp:positionV relativeFrom="paragraph">
              <wp:posOffset>76200</wp:posOffset>
            </wp:positionV>
            <wp:extent cx="1733550" cy="1790700"/>
            <wp:effectExtent l="0" t="0" r="0" b="0"/>
            <wp:wrapTight wrapText="bothSides">
              <wp:wrapPolygon edited="0">
                <wp:start x="0" y="0"/>
                <wp:lineTo x="0" y="21370"/>
                <wp:lineTo x="21363" y="21370"/>
                <wp:lineTo x="21363"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3550" cy="1790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Antifibrinolytikum</w:t>
      </w:r>
      <w:proofErr w:type="spellEnd"/>
      <w:r>
        <w:t xml:space="preserve"> určené ke specifickým indikacím: </w:t>
      </w:r>
    </w:p>
    <w:p w:rsidR="001D6A5D" w:rsidRDefault="001D6A5D" w:rsidP="001D6A5D">
      <w:pPr>
        <w:pStyle w:val="Default"/>
        <w:numPr>
          <w:ilvl w:val="0"/>
          <w:numId w:val="6"/>
        </w:numPr>
        <w:spacing w:line="360" w:lineRule="auto"/>
      </w:pPr>
      <w:r>
        <w:t>silná menstruace u žen</w:t>
      </w:r>
    </w:p>
    <w:p w:rsidR="001D6A5D" w:rsidRDefault="001D6A5D" w:rsidP="001D6A5D">
      <w:pPr>
        <w:pStyle w:val="Default"/>
        <w:numPr>
          <w:ilvl w:val="0"/>
          <w:numId w:val="6"/>
        </w:numPr>
        <w:spacing w:line="360" w:lineRule="auto"/>
      </w:pPr>
      <w:r>
        <w:t>krvácení z trávicího ústrojí</w:t>
      </w:r>
    </w:p>
    <w:p w:rsidR="001D6A5D" w:rsidRDefault="001D6A5D" w:rsidP="001D6A5D">
      <w:pPr>
        <w:pStyle w:val="Default"/>
        <w:numPr>
          <w:ilvl w:val="0"/>
          <w:numId w:val="6"/>
        </w:numPr>
        <w:spacing w:line="360" w:lineRule="auto"/>
      </w:pPr>
      <w:r>
        <w:t>krvácení z močových cest</w:t>
      </w:r>
    </w:p>
    <w:p w:rsidR="001D6A5D" w:rsidRDefault="001D6A5D" w:rsidP="001D6A5D">
      <w:pPr>
        <w:pStyle w:val="Default"/>
        <w:numPr>
          <w:ilvl w:val="0"/>
          <w:numId w:val="6"/>
        </w:numPr>
        <w:spacing w:line="360" w:lineRule="auto"/>
      </w:pPr>
      <w:r>
        <w:t>krvácení po léčbě jiným léčivým přípravkem, který brání srážení krve</w:t>
      </w:r>
    </w:p>
    <w:p w:rsidR="001D6A5D" w:rsidRDefault="001D6A5D" w:rsidP="001D6A5D">
      <w:pPr>
        <w:pStyle w:val="Default"/>
        <w:spacing w:line="360" w:lineRule="auto"/>
      </w:pPr>
    </w:p>
    <w:p w:rsidR="001D6A5D" w:rsidRDefault="001D6A5D" w:rsidP="001D6A5D">
      <w:pPr>
        <w:pStyle w:val="Default"/>
        <w:spacing w:line="360" w:lineRule="auto"/>
        <w:jc w:val="both"/>
      </w:pPr>
      <w:r>
        <w:t xml:space="preserve">V České republice jsou vytvářeny podmínky pro možnost podání této léčby již v přednemocniční péči. V klinické praxi se často setkáváme se závažnými deficity fibrinogenu v časné fázi život ohrožujícího krvácení (ŽOK). Někteří těžce zranění s ŽOK mají při přijetí na </w:t>
      </w:r>
      <w:proofErr w:type="spellStart"/>
      <w:r>
        <w:t>emergency</w:t>
      </w:r>
      <w:proofErr w:type="spellEnd"/>
      <w:r>
        <w:t xml:space="preserve"> (podobně jako rodičky se závažným </w:t>
      </w:r>
      <w:proofErr w:type="spellStart"/>
      <w:r>
        <w:t>peripartálním</w:t>
      </w:r>
      <w:proofErr w:type="spellEnd"/>
      <w:r>
        <w:t xml:space="preserve"> ŽOK) téměř nulové hladiny fibrinogenu.</w:t>
      </w:r>
    </w:p>
    <w:p w:rsidR="001D6A5D" w:rsidRDefault="001D6A5D" w:rsidP="001D6A5D">
      <w:pPr>
        <w:pStyle w:val="Default"/>
        <w:spacing w:line="360" w:lineRule="auto"/>
      </w:pPr>
    </w:p>
    <w:p w:rsidR="001D6A5D" w:rsidRPr="00D034E2" w:rsidRDefault="001D6A5D" w:rsidP="001D6A5D">
      <w:pPr>
        <w:pStyle w:val="Default"/>
        <w:spacing w:line="360" w:lineRule="auto"/>
        <w:rPr>
          <w:b/>
        </w:rPr>
      </w:pPr>
      <w:r w:rsidRPr="00D034E2">
        <w:rPr>
          <w:b/>
        </w:rPr>
        <w:t xml:space="preserve">Přípravek </w:t>
      </w:r>
      <w:proofErr w:type="spellStart"/>
      <w:r w:rsidRPr="00D034E2">
        <w:rPr>
          <w:b/>
        </w:rPr>
        <w:t>Exacyl</w:t>
      </w:r>
      <w:proofErr w:type="spellEnd"/>
      <w:r w:rsidRPr="00D034E2">
        <w:rPr>
          <w:b/>
        </w:rPr>
        <w:t xml:space="preserve"> je kontraindikován: </w:t>
      </w:r>
    </w:p>
    <w:p w:rsidR="001D6A5D" w:rsidRDefault="001D6A5D" w:rsidP="001D6A5D">
      <w:pPr>
        <w:pStyle w:val="Default"/>
        <w:numPr>
          <w:ilvl w:val="0"/>
          <w:numId w:val="7"/>
        </w:numPr>
        <w:spacing w:line="360" w:lineRule="auto"/>
      </w:pPr>
      <w:r>
        <w:t xml:space="preserve">alergie na kyselinu </w:t>
      </w:r>
      <w:proofErr w:type="spellStart"/>
      <w:r>
        <w:t>tranexamovou</w:t>
      </w:r>
      <w:proofErr w:type="spellEnd"/>
      <w:r>
        <w:t xml:space="preserve"> </w:t>
      </w:r>
    </w:p>
    <w:p w:rsidR="001D6A5D" w:rsidRDefault="001D6A5D" w:rsidP="001D6A5D">
      <w:pPr>
        <w:pStyle w:val="Default"/>
        <w:numPr>
          <w:ilvl w:val="0"/>
          <w:numId w:val="7"/>
        </w:numPr>
        <w:spacing w:line="360" w:lineRule="auto"/>
      </w:pPr>
      <w:r>
        <w:t>onemocnění způsobující vznik krevních sraženin</w:t>
      </w:r>
    </w:p>
    <w:p w:rsidR="001D6A5D" w:rsidRDefault="001D6A5D" w:rsidP="001D6A5D">
      <w:pPr>
        <w:pStyle w:val="Default"/>
      </w:pPr>
      <w:r w:rsidRPr="00DF1D35">
        <w:rPr>
          <w:b/>
        </w:rPr>
        <w:t>Mezi časté nežádoucí účinky patří:</w:t>
      </w:r>
      <w:r>
        <w:t xml:space="preserve"> pocit na zvracení, zvracení, průjem, malátnost s hypotenzí zejména pokud je injekce podána příliš rychle. </w:t>
      </w:r>
    </w:p>
    <w:p w:rsidR="001D6A5D" w:rsidRDefault="001D6A5D">
      <w:pPr>
        <w:spacing w:after="160" w:line="259" w:lineRule="auto"/>
      </w:pPr>
      <w:r>
        <w:br w:type="page"/>
      </w:r>
    </w:p>
    <w:p w:rsidR="001D6A5D" w:rsidRDefault="001D6A5D" w:rsidP="001D6A5D">
      <w:pPr>
        <w:spacing w:line="360" w:lineRule="auto"/>
        <w:jc w:val="both"/>
      </w:pPr>
    </w:p>
    <w:p w:rsidR="001D6A5D" w:rsidRDefault="001D6A5D" w:rsidP="001D6A5D">
      <w:pPr>
        <w:spacing w:line="360" w:lineRule="auto"/>
        <w:jc w:val="both"/>
      </w:pPr>
      <w:proofErr w:type="spellStart"/>
      <w:r w:rsidRPr="004D71E1">
        <w:rPr>
          <w:highlight w:val="green"/>
        </w:rPr>
        <w:t>Dithiaden</w:t>
      </w:r>
      <w:proofErr w:type="spellEnd"/>
      <w:r>
        <w:t xml:space="preserve"> (</w:t>
      </w:r>
      <w:proofErr w:type="spellStart"/>
      <w:r>
        <w:t>bisulepinum</w:t>
      </w:r>
      <w:proofErr w:type="spellEnd"/>
      <w:r>
        <w:t xml:space="preserve"> 1 mg ve 2 ml injekčního roztoku)</w:t>
      </w:r>
    </w:p>
    <w:p w:rsidR="001D6A5D" w:rsidRDefault="001D6A5D" w:rsidP="001D6A5D">
      <w:pPr>
        <w:spacing w:line="360" w:lineRule="auto"/>
        <w:jc w:val="both"/>
      </w:pPr>
      <w:proofErr w:type="spellStart"/>
      <w:r>
        <w:t>Bisulepin</w:t>
      </w:r>
      <w:proofErr w:type="spellEnd"/>
      <w:r>
        <w:t xml:space="preserve"> má intenzivní antihistaminové působení, působí sedativně, nemá </w:t>
      </w:r>
      <w:proofErr w:type="spellStart"/>
      <w:r>
        <w:t>antiadrenergní</w:t>
      </w:r>
      <w:proofErr w:type="spellEnd"/>
      <w:r>
        <w:t xml:space="preserve"> a jen velmi nízké anticholinergní a </w:t>
      </w:r>
      <w:proofErr w:type="spellStart"/>
      <w:r>
        <w:t>antiserotoninové</w:t>
      </w:r>
      <w:proofErr w:type="spellEnd"/>
      <w:r>
        <w:t xml:space="preserve"> účinky. Centrálně tlumivý efekt se u experimentálních zvířat projevoval až při dávkách, které byly o dva řády vyšší než doporučené.</w:t>
      </w:r>
    </w:p>
    <w:p w:rsidR="001D6A5D" w:rsidRPr="00E81089" w:rsidRDefault="001D6A5D" w:rsidP="001D6A5D">
      <w:pPr>
        <w:spacing w:line="360" w:lineRule="auto"/>
        <w:jc w:val="both"/>
        <w:rPr>
          <w:b/>
        </w:rPr>
      </w:pPr>
      <w:r w:rsidRPr="00E81089">
        <w:rPr>
          <w:b/>
        </w:rPr>
        <w:t>Mezi hlavní indikace patří:</w:t>
      </w:r>
    </w:p>
    <w:p w:rsidR="001D6A5D" w:rsidRDefault="001D6A5D" w:rsidP="001D6A5D">
      <w:pPr>
        <w:numPr>
          <w:ilvl w:val="0"/>
          <w:numId w:val="8"/>
        </w:numPr>
        <w:spacing w:line="360" w:lineRule="auto"/>
        <w:jc w:val="both"/>
      </w:pPr>
      <w:r>
        <w:t xml:space="preserve">projevy přecitlivělosti časného typu (zprostředkované </w:t>
      </w:r>
      <w:proofErr w:type="spellStart"/>
      <w:r>
        <w:t>IgE</w:t>
      </w:r>
      <w:proofErr w:type="spellEnd"/>
      <w:r>
        <w:t xml:space="preserve"> protilátkami)</w:t>
      </w:r>
    </w:p>
    <w:p w:rsidR="001D6A5D" w:rsidRDefault="001D6A5D" w:rsidP="001D6A5D">
      <w:pPr>
        <w:numPr>
          <w:ilvl w:val="0"/>
          <w:numId w:val="8"/>
        </w:numPr>
        <w:spacing w:line="360" w:lineRule="auto"/>
        <w:jc w:val="both"/>
      </w:pPr>
      <w:r>
        <w:t xml:space="preserve">akutní alergické stavy, alergická rýma (zvláště sezonní), astma </w:t>
      </w:r>
      <w:proofErr w:type="spellStart"/>
      <w:r>
        <w:t>bronchiale</w:t>
      </w:r>
      <w:proofErr w:type="spellEnd"/>
      <w:r>
        <w:t xml:space="preserve"> I. Typu</w:t>
      </w:r>
    </w:p>
    <w:p w:rsidR="001D6A5D" w:rsidRDefault="001D6A5D" w:rsidP="001D6A5D">
      <w:pPr>
        <w:numPr>
          <w:ilvl w:val="0"/>
          <w:numId w:val="8"/>
        </w:numPr>
        <w:spacing w:line="360" w:lineRule="auto"/>
        <w:jc w:val="both"/>
      </w:pPr>
      <w:r>
        <w:t xml:space="preserve">alergické reakce po bodnutí hmyzem, po aplikaci alergenu při </w:t>
      </w:r>
      <w:proofErr w:type="spellStart"/>
      <w:r>
        <w:t>hyposenzibilizaci</w:t>
      </w:r>
      <w:proofErr w:type="spellEnd"/>
      <w:r>
        <w:t>, po podání léků či požití potravin</w:t>
      </w:r>
    </w:p>
    <w:p w:rsidR="001D6A5D" w:rsidRDefault="001D6A5D" w:rsidP="001D6A5D">
      <w:pPr>
        <w:numPr>
          <w:ilvl w:val="0"/>
          <w:numId w:val="8"/>
        </w:numPr>
        <w:spacing w:line="360" w:lineRule="auto"/>
        <w:jc w:val="both"/>
      </w:pPr>
      <w:r>
        <w:t>celková alergická reakce včetně anafylaktického šoku, ihned v návaznosti na podání adrenalinu, popř. glukokortikoidů</w:t>
      </w:r>
    </w:p>
    <w:p w:rsidR="001D6A5D" w:rsidRPr="001D31D0" w:rsidRDefault="001D6A5D" w:rsidP="001D6A5D">
      <w:pPr>
        <w:spacing w:line="360" w:lineRule="auto"/>
        <w:jc w:val="both"/>
        <w:rPr>
          <w:b/>
        </w:rPr>
      </w:pPr>
    </w:p>
    <w:p w:rsidR="001D6A5D" w:rsidRPr="001D31D0" w:rsidRDefault="001D6A5D" w:rsidP="001D6A5D">
      <w:pPr>
        <w:spacing w:line="360" w:lineRule="auto"/>
        <w:jc w:val="both"/>
        <w:rPr>
          <w:b/>
        </w:rPr>
      </w:pPr>
      <w:r w:rsidRPr="001D31D0">
        <w:rPr>
          <w:b/>
        </w:rPr>
        <w:t>Kontraindikace:</w:t>
      </w:r>
    </w:p>
    <w:p w:rsidR="001D6A5D" w:rsidRDefault="001D6A5D" w:rsidP="001D6A5D">
      <w:pPr>
        <w:spacing w:line="360" w:lineRule="auto"/>
        <w:jc w:val="both"/>
      </w:pPr>
      <w:r w:rsidRPr="001D31D0">
        <w:t xml:space="preserve">Přecitlivělost na léčivou látku, status </w:t>
      </w:r>
      <w:proofErr w:type="spellStart"/>
      <w:r w:rsidRPr="001D31D0">
        <w:t>asthmaticus</w:t>
      </w:r>
      <w:proofErr w:type="spellEnd"/>
      <w:r w:rsidRPr="001D31D0">
        <w:t xml:space="preserve">, kojení a ve všech případech, kde je na závadu ospalost (centrálně tlumivý účinek </w:t>
      </w:r>
      <w:proofErr w:type="spellStart"/>
      <w:r w:rsidRPr="001D31D0">
        <w:t>dithiadenu</w:t>
      </w:r>
      <w:proofErr w:type="spellEnd"/>
      <w:r w:rsidRPr="001D31D0">
        <w:t xml:space="preserve"> zesilují současně podané látky tlumící CNS).  </w:t>
      </w:r>
    </w:p>
    <w:p w:rsidR="001D6A5D" w:rsidRDefault="001D6A5D">
      <w:pPr>
        <w:spacing w:after="160" w:line="259" w:lineRule="auto"/>
      </w:pPr>
      <w:r>
        <w:br w:type="page"/>
      </w:r>
    </w:p>
    <w:p w:rsidR="001D6A5D" w:rsidRDefault="001D6A5D" w:rsidP="001D6A5D">
      <w:pPr>
        <w:spacing w:line="360" w:lineRule="auto"/>
        <w:jc w:val="center"/>
        <w:rPr>
          <w:b/>
        </w:rPr>
      </w:pPr>
      <w:proofErr w:type="spellStart"/>
      <w:r>
        <w:rPr>
          <w:b/>
        </w:rPr>
        <w:lastRenderedPageBreak/>
        <w:t>Thiopental</w:t>
      </w:r>
      <w:proofErr w:type="spellEnd"/>
      <w:r>
        <w:rPr>
          <w:b/>
        </w:rPr>
        <w:t xml:space="preserve"> </w:t>
      </w:r>
      <w:smartTag w:uri="urn:schemas-microsoft-com:office:smarttags" w:element="metricconverter">
        <w:smartTagPr>
          <w:attr w:name="ProductID" w:val="0,5 g"/>
        </w:smartTagPr>
        <w:r>
          <w:rPr>
            <w:b/>
          </w:rPr>
          <w:t>0,5 g</w:t>
        </w:r>
      </w:smartTag>
      <w:r>
        <w:rPr>
          <w:b/>
        </w:rPr>
        <w:t xml:space="preserve"> ředíme do 20 ml stříkačky fyziologickým roztokem: 1ml = 25 mg</w:t>
      </w:r>
    </w:p>
    <w:p w:rsidR="001D6A5D" w:rsidRDefault="001D6A5D" w:rsidP="001D6A5D">
      <w:pPr>
        <w:spacing w:line="360" w:lineRule="auto"/>
        <w:jc w:val="both"/>
        <w:rPr>
          <w:highlight w:val="green"/>
        </w:rPr>
      </w:pPr>
    </w:p>
    <w:p w:rsidR="001D6A5D" w:rsidRDefault="001D6A5D" w:rsidP="001D6A5D">
      <w:pPr>
        <w:spacing w:line="360" w:lineRule="auto"/>
        <w:jc w:val="both"/>
      </w:pPr>
      <w:proofErr w:type="spellStart"/>
      <w:r>
        <w:rPr>
          <w:highlight w:val="green"/>
        </w:rPr>
        <w:t>Torecan</w:t>
      </w:r>
      <w:proofErr w:type="spellEnd"/>
      <w:r>
        <w:t xml:space="preserve"> (</w:t>
      </w:r>
      <w:proofErr w:type="spellStart"/>
      <w:r>
        <w:t>thiethylperazinum</w:t>
      </w:r>
      <w:proofErr w:type="spellEnd"/>
      <w:r>
        <w:t xml:space="preserve"> 6, 50 mg v 1 ml injekčního roztoku)</w:t>
      </w:r>
    </w:p>
    <w:p w:rsidR="001D6A5D" w:rsidRDefault="001D6A5D" w:rsidP="001D6A5D">
      <w:pPr>
        <w:spacing w:line="360" w:lineRule="auto"/>
        <w:jc w:val="both"/>
      </w:pPr>
      <w:proofErr w:type="spellStart"/>
      <w:r>
        <w:t>Thiethylperazin</w:t>
      </w:r>
      <w:proofErr w:type="spellEnd"/>
      <w:r>
        <w:t xml:space="preserve"> se používá v léčbě a prevenci </w:t>
      </w:r>
      <w:proofErr w:type="spellStart"/>
      <w:r>
        <w:t>nausey</w:t>
      </w:r>
      <w:proofErr w:type="spellEnd"/>
      <w:r>
        <w:t xml:space="preserve">, zvracení a závratí. Je vhodný k léčbě a prevenci </w:t>
      </w:r>
      <w:proofErr w:type="spellStart"/>
      <w:r>
        <w:t>nausey</w:t>
      </w:r>
      <w:proofErr w:type="spellEnd"/>
      <w:r>
        <w:t xml:space="preserve"> a zvracení, které doprovázejí kraniocerebrální poranění, intrakraniální hypertenzi, migrénu a kinetózy. </w:t>
      </w:r>
      <w:proofErr w:type="spellStart"/>
      <w:r>
        <w:t>Torecan</w:t>
      </w:r>
      <w:proofErr w:type="spellEnd"/>
      <w:r>
        <w:t xml:space="preserve"> se používá pro léčbu závratí u </w:t>
      </w:r>
      <w:proofErr w:type="spellStart"/>
      <w:r>
        <w:t>Meniérova</w:t>
      </w:r>
      <w:proofErr w:type="spellEnd"/>
      <w:r>
        <w:t xml:space="preserve"> syndromu a jiných vestibulárních poruch, po komoci mozku, u </w:t>
      </w:r>
      <w:proofErr w:type="spellStart"/>
      <w:r>
        <w:t>postkomočního</w:t>
      </w:r>
      <w:proofErr w:type="spellEnd"/>
      <w:r>
        <w:t xml:space="preserve"> syndromu a u cerebrovaskulární aterosklerózy. </w:t>
      </w:r>
    </w:p>
    <w:p w:rsidR="001D6A5D" w:rsidRDefault="001D6A5D" w:rsidP="001D6A5D">
      <w:pPr>
        <w:spacing w:line="360" w:lineRule="auto"/>
        <w:jc w:val="both"/>
      </w:pPr>
      <w:proofErr w:type="spellStart"/>
      <w:r>
        <w:rPr>
          <w:b/>
        </w:rPr>
        <w:t>Torecan</w:t>
      </w:r>
      <w:proofErr w:type="spellEnd"/>
      <w:r>
        <w:rPr>
          <w:b/>
        </w:rPr>
        <w:t xml:space="preserve"> je kontraindikován</w:t>
      </w:r>
      <w:r>
        <w:t xml:space="preserve"> v případech známé hypersenzitivity na tento lék nebo na </w:t>
      </w:r>
      <w:proofErr w:type="spellStart"/>
      <w:r>
        <w:t>fenothiaziny</w:t>
      </w:r>
      <w:proofErr w:type="spellEnd"/>
      <w:r>
        <w:t xml:space="preserve"> obecně, dále u těžšího poklesu funkcí CNS, u komatózních stavů a u klinicky významné hypotenze. Použití u dětí mladších 15 let je rovněž kontraindikováno, a to pro riziko nežádoucích </w:t>
      </w:r>
      <w:proofErr w:type="spellStart"/>
      <w:r>
        <w:t>extrapyramidových</w:t>
      </w:r>
      <w:proofErr w:type="spellEnd"/>
      <w:r>
        <w:t xml:space="preserve"> účinků (mohou vyvolat maligní </w:t>
      </w:r>
      <w:proofErr w:type="spellStart"/>
      <w:r>
        <w:t>neuroleptický</w:t>
      </w:r>
      <w:proofErr w:type="spellEnd"/>
      <w:r>
        <w:t xml:space="preserve"> syndrom, jež se klinicky manifestuje hyperpyrexií, muskulární rigiditou, alterací psychického stavu). </w:t>
      </w:r>
      <w:proofErr w:type="spellStart"/>
      <w:r>
        <w:t>Torecan</w:t>
      </w:r>
      <w:proofErr w:type="spellEnd"/>
      <w:r>
        <w:t xml:space="preserve"> může způsobit somnolenci, závratě, bolesti hlavy, neklid a rovněž další závažné nežádoucí účinky, jako jsou křeče a </w:t>
      </w:r>
      <w:proofErr w:type="spellStart"/>
      <w:r>
        <w:t>extrapyramidové</w:t>
      </w:r>
      <w:proofErr w:type="spellEnd"/>
      <w:r>
        <w:t xml:space="preserve"> příznaky. Tyto </w:t>
      </w:r>
      <w:proofErr w:type="spellStart"/>
      <w:r>
        <w:t>extrapyramidové</w:t>
      </w:r>
      <w:proofErr w:type="spellEnd"/>
      <w:r>
        <w:t xml:space="preserve"> příznaky se mohou projevovat jako </w:t>
      </w:r>
      <w:proofErr w:type="spellStart"/>
      <w:r>
        <w:t>torticollis</w:t>
      </w:r>
      <w:proofErr w:type="spellEnd"/>
      <w:r>
        <w:t xml:space="preserve">, </w:t>
      </w:r>
      <w:proofErr w:type="spellStart"/>
      <w:r>
        <w:t>opistotonus</w:t>
      </w:r>
      <w:proofErr w:type="spellEnd"/>
      <w:r>
        <w:t xml:space="preserve">, rigidita a grimasy v obličeji. U starších pacientů se po dlouhodobém podávání může objevit pozdní dyskineze (mimovolní </w:t>
      </w:r>
      <w:proofErr w:type="spellStart"/>
      <w:r>
        <w:t>záškubovité</w:t>
      </w:r>
      <w:proofErr w:type="spellEnd"/>
      <w:r>
        <w:t xml:space="preserve"> pohyby).</w:t>
      </w:r>
    </w:p>
    <w:p w:rsidR="001D6A5D" w:rsidRDefault="001D6A5D">
      <w:pPr>
        <w:spacing w:after="160" w:line="259" w:lineRule="auto"/>
        <w:rPr>
          <w:highlight w:val="green"/>
        </w:rPr>
      </w:pPr>
      <w:r>
        <w:rPr>
          <w:highlight w:val="green"/>
        </w:rPr>
        <w:br w:type="page"/>
      </w:r>
    </w:p>
    <w:p w:rsidR="001D6A5D" w:rsidRDefault="001D6A5D" w:rsidP="001D6A5D">
      <w:pPr>
        <w:spacing w:line="360" w:lineRule="auto"/>
        <w:jc w:val="both"/>
        <w:rPr>
          <w:highlight w:val="green"/>
        </w:rPr>
      </w:pPr>
      <w:proofErr w:type="spellStart"/>
      <w:r>
        <w:rPr>
          <w:highlight w:val="green"/>
        </w:rPr>
        <w:lastRenderedPageBreak/>
        <w:t>Propofol</w:t>
      </w:r>
      <w:proofErr w:type="spellEnd"/>
      <w:r>
        <w:rPr>
          <w:highlight w:val="green"/>
        </w:rPr>
        <w:t xml:space="preserve"> 1 % (</w:t>
      </w:r>
      <w:r>
        <w:t xml:space="preserve">1 ml emulze obsahuje 10 mg </w:t>
      </w:r>
      <w:proofErr w:type="spellStart"/>
      <w:r>
        <w:t>propofolum</w:t>
      </w:r>
      <w:proofErr w:type="spellEnd"/>
      <w:r>
        <w:t>, obsah 1 ampule 200 mg = 20 ml)</w:t>
      </w:r>
    </w:p>
    <w:p w:rsidR="001D6A5D" w:rsidRDefault="001D6A5D" w:rsidP="001D6A5D">
      <w:pPr>
        <w:spacing w:line="360" w:lineRule="auto"/>
        <w:jc w:val="both"/>
      </w:pPr>
      <w:r>
        <w:rPr>
          <w:noProof/>
        </w:rPr>
        <w:drawing>
          <wp:anchor distT="0" distB="0" distL="114300" distR="114300" simplePos="0" relativeHeight="251678720" behindDoc="1" locked="0" layoutInCell="1" allowOverlap="1">
            <wp:simplePos x="0" y="0"/>
            <wp:positionH relativeFrom="column">
              <wp:posOffset>5024755</wp:posOffset>
            </wp:positionH>
            <wp:positionV relativeFrom="paragraph">
              <wp:posOffset>80645</wp:posOffset>
            </wp:positionV>
            <wp:extent cx="444500" cy="1619250"/>
            <wp:effectExtent l="0" t="0" r="0" b="0"/>
            <wp:wrapTight wrapText="bothSides">
              <wp:wrapPolygon edited="0">
                <wp:start x="0" y="0"/>
                <wp:lineTo x="0" y="21346"/>
                <wp:lineTo x="20366" y="21346"/>
                <wp:lineTo x="20366"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00" cy="1619250"/>
                    </a:xfrm>
                    <a:prstGeom prst="rect">
                      <a:avLst/>
                    </a:prstGeom>
                    <a:noFill/>
                  </pic:spPr>
                </pic:pic>
              </a:graphicData>
            </a:graphic>
            <wp14:sizeRelH relativeFrom="page">
              <wp14:pctWidth>0</wp14:pctWidth>
            </wp14:sizeRelH>
            <wp14:sizeRelV relativeFrom="page">
              <wp14:pctHeight>0</wp14:pctHeight>
            </wp14:sizeRelV>
          </wp:anchor>
        </w:drawing>
      </w:r>
      <w:r>
        <w:t xml:space="preserve">Celkové anestetikum k intravenóznímu podání s krátkým účinkem. </w:t>
      </w:r>
    </w:p>
    <w:p w:rsidR="001D6A5D" w:rsidRDefault="001D6A5D" w:rsidP="001D6A5D">
      <w:pPr>
        <w:spacing w:line="360" w:lineRule="auto"/>
        <w:jc w:val="both"/>
      </w:pPr>
      <w:r>
        <w:rPr>
          <w:b/>
        </w:rPr>
        <w:t>Indikace:</w:t>
      </w:r>
      <w:r>
        <w:t xml:space="preserve"> </w:t>
      </w:r>
    </w:p>
    <w:p w:rsidR="001D6A5D" w:rsidRDefault="001D6A5D" w:rsidP="001D6A5D">
      <w:pPr>
        <w:spacing w:line="360" w:lineRule="auto"/>
        <w:jc w:val="both"/>
      </w:pPr>
      <w:r>
        <w:sym w:font="Symbol" w:char="F0B7"/>
      </w:r>
      <w:r>
        <w:t xml:space="preserve"> úvod do celkové anestézie u dospělých a dětí starších 1 měsíce </w:t>
      </w:r>
    </w:p>
    <w:p w:rsidR="001D6A5D" w:rsidRDefault="001D6A5D" w:rsidP="001D6A5D">
      <w:pPr>
        <w:spacing w:line="360" w:lineRule="auto"/>
        <w:jc w:val="both"/>
      </w:pPr>
      <w:r>
        <w:sym w:font="Symbol" w:char="F0B7"/>
      </w:r>
      <w:r>
        <w:t xml:space="preserve"> </w:t>
      </w:r>
      <w:proofErr w:type="spellStart"/>
      <w:r>
        <w:t>sedaci</w:t>
      </w:r>
      <w:proofErr w:type="spellEnd"/>
      <w:r>
        <w:t xml:space="preserve"> ventilovaných pacientů starších </w:t>
      </w:r>
      <w:proofErr w:type="gramStart"/>
      <w:r>
        <w:t>16ti</w:t>
      </w:r>
      <w:proofErr w:type="gramEnd"/>
      <w:r>
        <w:t xml:space="preserve"> let na jednotce intenzivní péče</w:t>
      </w:r>
    </w:p>
    <w:p w:rsidR="001D6A5D" w:rsidRDefault="001D6A5D" w:rsidP="001D6A5D">
      <w:pPr>
        <w:spacing w:line="360" w:lineRule="auto"/>
        <w:jc w:val="both"/>
      </w:pPr>
    </w:p>
    <w:p w:rsidR="001D6A5D" w:rsidRDefault="001D6A5D" w:rsidP="001D6A5D">
      <w:pPr>
        <w:spacing w:line="360" w:lineRule="auto"/>
        <w:jc w:val="both"/>
      </w:pPr>
      <w:proofErr w:type="spellStart"/>
      <w:r>
        <w:rPr>
          <w:b/>
        </w:rPr>
        <w:t>Propofolum</w:t>
      </w:r>
      <w:proofErr w:type="spellEnd"/>
      <w:r>
        <w:rPr>
          <w:b/>
        </w:rPr>
        <w:t xml:space="preserve"> se nesmí použít </w:t>
      </w:r>
      <w:r>
        <w:t xml:space="preserve">u pacientů se známou přecitlivělostí na </w:t>
      </w:r>
      <w:proofErr w:type="spellStart"/>
      <w:r>
        <w:t>propofol</w:t>
      </w:r>
      <w:proofErr w:type="spellEnd"/>
      <w:r>
        <w:t xml:space="preserve">, sóju, burské oříšky nebo jinou složku emulze a u pacientů ve věku </w:t>
      </w:r>
      <w:proofErr w:type="gramStart"/>
      <w:r>
        <w:t>16ti</w:t>
      </w:r>
      <w:proofErr w:type="gramEnd"/>
      <w:r>
        <w:t xml:space="preserve"> let nebo mladších pro </w:t>
      </w:r>
      <w:proofErr w:type="spellStart"/>
      <w:r>
        <w:t>sedaci</w:t>
      </w:r>
      <w:proofErr w:type="spellEnd"/>
      <w:r>
        <w:t xml:space="preserve"> na jednotce intenzivní péče. </w:t>
      </w:r>
    </w:p>
    <w:p w:rsidR="001D6A5D" w:rsidRDefault="001D6A5D" w:rsidP="001D6A5D">
      <w:pPr>
        <w:spacing w:line="360" w:lineRule="auto"/>
        <w:jc w:val="both"/>
        <w:rPr>
          <w:b/>
        </w:rPr>
      </w:pPr>
      <w:r>
        <w:rPr>
          <w:b/>
        </w:rPr>
        <w:t xml:space="preserve">Mezi časté nežádoucí účinky patří: </w:t>
      </w:r>
    </w:p>
    <w:p w:rsidR="001D6A5D" w:rsidRDefault="001D6A5D" w:rsidP="001D6A5D">
      <w:pPr>
        <w:numPr>
          <w:ilvl w:val="0"/>
          <w:numId w:val="9"/>
        </w:numPr>
        <w:spacing w:line="360" w:lineRule="auto"/>
        <w:jc w:val="both"/>
      </w:pPr>
      <w:r>
        <w:t>během uvedení do anestezie spontánní pohyby a myoklonie</w:t>
      </w:r>
    </w:p>
    <w:p w:rsidR="001D6A5D" w:rsidRDefault="001D6A5D" w:rsidP="001D6A5D">
      <w:pPr>
        <w:numPr>
          <w:ilvl w:val="0"/>
          <w:numId w:val="9"/>
        </w:numPr>
        <w:spacing w:line="360" w:lineRule="auto"/>
        <w:jc w:val="both"/>
      </w:pPr>
      <w:r>
        <w:t>hypotenze, bradykardie, tachykardie</w:t>
      </w:r>
    </w:p>
    <w:p w:rsidR="001D6A5D" w:rsidRDefault="001D6A5D" w:rsidP="001D6A5D">
      <w:pPr>
        <w:numPr>
          <w:ilvl w:val="0"/>
          <w:numId w:val="9"/>
        </w:numPr>
        <w:spacing w:line="360" w:lineRule="auto"/>
        <w:jc w:val="both"/>
      </w:pPr>
      <w:r>
        <w:t xml:space="preserve">lokální bolest v místě aplikace do žíly (může být minimalizována lidokainem) </w:t>
      </w:r>
    </w:p>
    <w:p w:rsidR="001D6A5D" w:rsidRDefault="001D6A5D">
      <w:pPr>
        <w:spacing w:after="160" w:line="259" w:lineRule="auto"/>
        <w:rPr>
          <w:color w:val="000000"/>
          <w:highlight w:val="green"/>
        </w:rPr>
      </w:pPr>
      <w:r>
        <w:rPr>
          <w:highlight w:val="green"/>
        </w:rPr>
        <w:br w:type="page"/>
      </w:r>
    </w:p>
    <w:p w:rsidR="001D6A5D" w:rsidRDefault="001D6A5D" w:rsidP="001D6A5D">
      <w:pPr>
        <w:pStyle w:val="Default"/>
        <w:numPr>
          <w:ilvl w:val="0"/>
          <w:numId w:val="9"/>
        </w:numPr>
      </w:pPr>
      <w:proofErr w:type="spellStart"/>
      <w:r>
        <w:rPr>
          <w:highlight w:val="green"/>
        </w:rPr>
        <w:lastRenderedPageBreak/>
        <w:t>Hypnomidate</w:t>
      </w:r>
      <w:proofErr w:type="spellEnd"/>
      <w:r>
        <w:t xml:space="preserve"> (</w:t>
      </w:r>
      <w:r>
        <w:rPr>
          <w:sz w:val="22"/>
          <w:szCs w:val="22"/>
        </w:rPr>
        <w:t xml:space="preserve">10ml ampulka obsahuje </w:t>
      </w:r>
      <w:proofErr w:type="spellStart"/>
      <w:r>
        <w:rPr>
          <w:sz w:val="22"/>
          <w:szCs w:val="22"/>
        </w:rPr>
        <w:t>etomidatum</w:t>
      </w:r>
      <w:proofErr w:type="spellEnd"/>
      <w:r>
        <w:rPr>
          <w:sz w:val="22"/>
          <w:szCs w:val="22"/>
        </w:rPr>
        <w:t xml:space="preserve"> 20 mg - 2 mg/ml)</w:t>
      </w:r>
    </w:p>
    <w:p w:rsidR="001D6A5D" w:rsidRDefault="001D6A5D" w:rsidP="001D6A5D">
      <w:pPr>
        <w:pStyle w:val="Odstavecseseznamem"/>
        <w:numPr>
          <w:ilvl w:val="0"/>
          <w:numId w:val="9"/>
        </w:numPr>
        <w:spacing w:line="360" w:lineRule="auto"/>
        <w:jc w:val="both"/>
      </w:pPr>
      <w:r>
        <w:rPr>
          <w:noProof/>
        </w:rPr>
        <w:drawing>
          <wp:anchor distT="0" distB="0" distL="114300" distR="114300" simplePos="0" relativeHeight="251680768" behindDoc="1" locked="0" layoutInCell="1" allowOverlap="1">
            <wp:simplePos x="0" y="0"/>
            <wp:positionH relativeFrom="column">
              <wp:posOffset>5080</wp:posOffset>
            </wp:positionH>
            <wp:positionV relativeFrom="paragraph">
              <wp:posOffset>61595</wp:posOffset>
            </wp:positionV>
            <wp:extent cx="3086100" cy="2023745"/>
            <wp:effectExtent l="0" t="0" r="0" b="0"/>
            <wp:wrapTight wrapText="bothSides">
              <wp:wrapPolygon edited="0">
                <wp:start x="0" y="0"/>
                <wp:lineTo x="0" y="21349"/>
                <wp:lineTo x="21467" y="21349"/>
                <wp:lineTo x="21467"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2023745"/>
                    </a:xfrm>
                    <a:prstGeom prst="rect">
                      <a:avLst/>
                    </a:prstGeom>
                    <a:noFill/>
                  </pic:spPr>
                </pic:pic>
              </a:graphicData>
            </a:graphic>
            <wp14:sizeRelH relativeFrom="page">
              <wp14:pctWidth>0</wp14:pctWidth>
            </wp14:sizeRelH>
            <wp14:sizeRelV relativeFrom="page">
              <wp14:pctHeight>0</wp14:pctHeight>
            </wp14:sizeRelV>
          </wp:anchor>
        </w:drawing>
      </w:r>
      <w:r>
        <w:t xml:space="preserve">Celkové anestetikum určené k úvodu do celkové anestezie. Při doporučeném dávkování ovlivňuje </w:t>
      </w:r>
      <w:proofErr w:type="spellStart"/>
      <w:r>
        <w:t>etomidát</w:t>
      </w:r>
      <w:proofErr w:type="spellEnd"/>
      <w:r>
        <w:t xml:space="preserve"> </w:t>
      </w:r>
      <w:proofErr w:type="spellStart"/>
      <w:r>
        <w:t>hemodynamické</w:t>
      </w:r>
      <w:proofErr w:type="spellEnd"/>
      <w:r>
        <w:t xml:space="preserve"> parametry minimálně, jeho je použití vhodné zejména </w:t>
      </w:r>
      <w:proofErr w:type="gramStart"/>
      <w:r>
        <w:t>u  kardiaků</w:t>
      </w:r>
      <w:proofErr w:type="gramEnd"/>
      <w:r>
        <w:t xml:space="preserve">. Kontraindikací podání je hypersenzitivita na léčivou látku </w:t>
      </w:r>
      <w:proofErr w:type="spellStart"/>
      <w:r>
        <w:t>etomidatum</w:t>
      </w:r>
      <w:proofErr w:type="spellEnd"/>
      <w:r>
        <w:t xml:space="preserve">. </w:t>
      </w:r>
    </w:p>
    <w:p w:rsidR="001D6A5D" w:rsidRDefault="001D6A5D" w:rsidP="001D6A5D">
      <w:pPr>
        <w:pStyle w:val="Odstavecseseznamem"/>
        <w:numPr>
          <w:ilvl w:val="0"/>
          <w:numId w:val="9"/>
        </w:numPr>
        <w:spacing w:line="360" w:lineRule="auto"/>
        <w:jc w:val="both"/>
      </w:pPr>
      <w:r w:rsidRPr="001D6A5D">
        <w:rPr>
          <w:b/>
        </w:rPr>
        <w:t xml:space="preserve">Z častých a velmi častých nežádoucích účinků se může objevit: </w:t>
      </w:r>
      <w:r>
        <w:t xml:space="preserve">mírný a přechodný pokles krevního tlaku (snížení periferní vaskulární rezistence), dyskineze, </w:t>
      </w:r>
      <w:proofErr w:type="spellStart"/>
      <w:r>
        <w:t>myoklonus</w:t>
      </w:r>
      <w:proofErr w:type="spellEnd"/>
      <w:r>
        <w:t xml:space="preserve">, bolesti žil, hypotenze, apnoe, hyperventilace, </w:t>
      </w:r>
      <w:proofErr w:type="spellStart"/>
      <w:r>
        <w:t>stridor</w:t>
      </w:r>
      <w:proofErr w:type="spellEnd"/>
      <w:r>
        <w:t>.</w:t>
      </w:r>
    </w:p>
    <w:p w:rsidR="001D6A5D" w:rsidRDefault="001D6A5D">
      <w:pPr>
        <w:spacing w:after="160" w:line="259" w:lineRule="auto"/>
      </w:pPr>
      <w:r>
        <w:br w:type="page"/>
      </w:r>
    </w:p>
    <w:p w:rsidR="001D6A5D" w:rsidRDefault="001D6A5D" w:rsidP="001D6A5D">
      <w:pPr>
        <w:pStyle w:val="Odstavecseseznamem"/>
        <w:spacing w:line="360" w:lineRule="auto"/>
        <w:jc w:val="both"/>
      </w:pPr>
      <w:proofErr w:type="spellStart"/>
      <w:r w:rsidRPr="001D6A5D">
        <w:rPr>
          <w:highlight w:val="green"/>
        </w:rPr>
        <w:lastRenderedPageBreak/>
        <w:t>Arduan</w:t>
      </w:r>
      <w:proofErr w:type="spellEnd"/>
      <w:r w:rsidRPr="001D6A5D">
        <w:rPr>
          <w:highlight w:val="green"/>
        </w:rPr>
        <w:t xml:space="preserve"> 4mg</w:t>
      </w:r>
      <w:r>
        <w:t xml:space="preserve"> (prášek v lahvičce + rozpouštědlo (</w:t>
      </w:r>
      <w:proofErr w:type="spellStart"/>
      <w:r>
        <w:t>pipecuronii</w:t>
      </w:r>
      <w:proofErr w:type="spellEnd"/>
      <w:r>
        <w:t xml:space="preserve"> </w:t>
      </w:r>
      <w:proofErr w:type="spellStart"/>
      <w:r>
        <w:t>bromidum</w:t>
      </w:r>
      <w:proofErr w:type="spellEnd"/>
      <w:r>
        <w:t xml:space="preserve"> 4 mg) </w:t>
      </w:r>
    </w:p>
    <w:p w:rsidR="001D6A5D" w:rsidRDefault="001D6A5D" w:rsidP="001D6A5D">
      <w:pPr>
        <w:pStyle w:val="Odstavecseseznamem"/>
        <w:numPr>
          <w:ilvl w:val="0"/>
          <w:numId w:val="9"/>
        </w:numPr>
        <w:spacing w:line="360" w:lineRule="auto"/>
        <w:jc w:val="both"/>
      </w:pPr>
      <w:r>
        <w:rPr>
          <w:noProof/>
        </w:rPr>
        <w:drawing>
          <wp:anchor distT="0" distB="0" distL="114300" distR="114300" simplePos="0" relativeHeight="251682816" behindDoc="1" locked="0" layoutInCell="1" allowOverlap="1">
            <wp:simplePos x="0" y="0"/>
            <wp:positionH relativeFrom="column">
              <wp:posOffset>167005</wp:posOffset>
            </wp:positionH>
            <wp:positionV relativeFrom="paragraph">
              <wp:posOffset>125730</wp:posOffset>
            </wp:positionV>
            <wp:extent cx="1038225" cy="1647825"/>
            <wp:effectExtent l="0" t="0" r="9525" b="9525"/>
            <wp:wrapTight wrapText="bothSides">
              <wp:wrapPolygon edited="0">
                <wp:start x="0" y="0"/>
                <wp:lineTo x="0" y="21475"/>
                <wp:lineTo x="21402" y="21475"/>
                <wp:lineTo x="21402"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8225" cy="1647825"/>
                    </a:xfrm>
                    <a:prstGeom prst="rect">
                      <a:avLst/>
                    </a:prstGeom>
                    <a:noFill/>
                  </pic:spPr>
                </pic:pic>
              </a:graphicData>
            </a:graphic>
            <wp14:sizeRelH relativeFrom="page">
              <wp14:pctWidth>0</wp14:pctWidth>
            </wp14:sizeRelH>
            <wp14:sizeRelV relativeFrom="page">
              <wp14:pctHeight>0</wp14:pctHeight>
            </wp14:sizeRelV>
          </wp:anchor>
        </w:drawing>
      </w:r>
    </w:p>
    <w:p w:rsidR="001D6A5D" w:rsidRPr="001D6A5D" w:rsidRDefault="001D6A5D" w:rsidP="001D6A5D">
      <w:pPr>
        <w:pStyle w:val="Odstavecseseznamem"/>
        <w:numPr>
          <w:ilvl w:val="0"/>
          <w:numId w:val="9"/>
        </w:numPr>
        <w:spacing w:line="360" w:lineRule="auto"/>
        <w:jc w:val="both"/>
      </w:pPr>
      <w:proofErr w:type="spellStart"/>
      <w:r>
        <w:t>Nedepolarizující</w:t>
      </w:r>
      <w:proofErr w:type="spellEnd"/>
      <w:r>
        <w:t xml:space="preserve"> nervosvalový </w:t>
      </w:r>
      <w:proofErr w:type="spellStart"/>
      <w:r>
        <w:t>myorelaxantium</w:t>
      </w:r>
      <w:proofErr w:type="spellEnd"/>
      <w:r>
        <w:t xml:space="preserve"> (blokátor), na rozdíl od </w:t>
      </w:r>
      <w:proofErr w:type="spellStart"/>
      <w:r>
        <w:t>depolarizujících</w:t>
      </w:r>
      <w:proofErr w:type="spellEnd"/>
      <w:r>
        <w:t xml:space="preserve"> </w:t>
      </w:r>
      <w:proofErr w:type="spellStart"/>
      <w:r>
        <w:t>myorelaxancií</w:t>
      </w:r>
      <w:proofErr w:type="spellEnd"/>
      <w:r>
        <w:t xml:space="preserve"> nevyvolává svalové záškuby. </w:t>
      </w:r>
      <w:proofErr w:type="spellStart"/>
      <w:r>
        <w:t>Arduan</w:t>
      </w:r>
      <w:proofErr w:type="spellEnd"/>
      <w:r>
        <w:t xml:space="preserve"> je indikován jako součást celkové anestézie, k zajištění reverzibilní relaxace kosterního svalstva a jako jedna ze součástí pro adaptaci pacienta na umělé plicní ventilaci. </w:t>
      </w:r>
      <w:r w:rsidRPr="001D6A5D">
        <w:rPr>
          <w:b/>
        </w:rPr>
        <w:t xml:space="preserve">Kontraindikací </w:t>
      </w:r>
      <w:r>
        <w:t xml:space="preserve">je hypersenzitivita na léčivou látku. </w:t>
      </w:r>
      <w:proofErr w:type="spellStart"/>
      <w:r>
        <w:t>Arduan</w:t>
      </w:r>
      <w:proofErr w:type="spellEnd"/>
      <w:r>
        <w:t xml:space="preserve"> vyvolává relaxaci dýchacího svalstva, proto je nutné při použití tohoto léčivého přípravku řízené dýchaní, dokud se neupraví dýchání spontánní. U pacientů s nervosvalovým onemocněním je třeba opatrnosti, protože se může objevit jak zesílení, tak oslabení nervosvalové blokády navozené přípravkem </w:t>
      </w:r>
      <w:proofErr w:type="spellStart"/>
      <w:r>
        <w:t>Arduan</w:t>
      </w:r>
      <w:proofErr w:type="spellEnd"/>
      <w:r>
        <w:t xml:space="preserve">. Frekvence hlášení nežádoucích účinků u přípravků </w:t>
      </w:r>
      <w:proofErr w:type="spellStart"/>
      <w:r w:rsidRPr="001D6A5D">
        <w:t>Arduan</w:t>
      </w:r>
      <w:proofErr w:type="spellEnd"/>
      <w:r w:rsidRPr="001D6A5D">
        <w:t xml:space="preserve"> je velmi vzácná. </w:t>
      </w:r>
    </w:p>
    <w:p w:rsidR="001D6A5D" w:rsidRPr="001D6A5D" w:rsidRDefault="001D6A5D" w:rsidP="001D6A5D">
      <w:pPr>
        <w:pStyle w:val="Odstavecseseznamem"/>
        <w:spacing w:line="360" w:lineRule="auto"/>
        <w:rPr>
          <w:highlight w:val="green"/>
        </w:rPr>
      </w:pPr>
      <w:r w:rsidRPr="001D6A5D">
        <w:t>Podání inhibitorů</w:t>
      </w:r>
      <w:r>
        <w:t xml:space="preserve"> </w:t>
      </w:r>
      <w:proofErr w:type="spellStart"/>
      <w:r>
        <w:t>acetylcholinesterázy</w:t>
      </w:r>
      <w:proofErr w:type="spellEnd"/>
      <w:r>
        <w:t xml:space="preserve"> jako je </w:t>
      </w:r>
      <w:proofErr w:type="spellStart"/>
      <w:r>
        <w:t>neostigmin</w:t>
      </w:r>
      <w:proofErr w:type="spellEnd"/>
      <w:r>
        <w:t xml:space="preserve">, </w:t>
      </w:r>
      <w:proofErr w:type="spellStart"/>
      <w:r>
        <w:t>pyridostigmin</w:t>
      </w:r>
      <w:proofErr w:type="spellEnd"/>
      <w:r>
        <w:t xml:space="preserve"> nebo </w:t>
      </w:r>
      <w:proofErr w:type="spellStart"/>
      <w:r>
        <w:t>edrofonium</w:t>
      </w:r>
      <w:proofErr w:type="spellEnd"/>
      <w:r>
        <w:t xml:space="preserve"> zruší nervosvalovou blokádu navozenou přípravkem </w:t>
      </w:r>
      <w:proofErr w:type="spellStart"/>
      <w:r>
        <w:t>Arduan</w:t>
      </w:r>
      <w:proofErr w:type="spellEnd"/>
      <w:r>
        <w:t xml:space="preserve">. </w:t>
      </w:r>
    </w:p>
    <w:p w:rsidR="001D6A5D" w:rsidRDefault="001D6A5D">
      <w:pPr>
        <w:spacing w:after="160" w:line="259" w:lineRule="auto"/>
        <w:rPr>
          <w:highlight w:val="green"/>
        </w:rPr>
      </w:pPr>
      <w:r>
        <w:rPr>
          <w:highlight w:val="green"/>
        </w:rPr>
        <w:br w:type="page"/>
      </w:r>
    </w:p>
    <w:p w:rsidR="001D6A5D" w:rsidRPr="001D6A5D" w:rsidRDefault="001D6A5D" w:rsidP="001D6A5D">
      <w:pPr>
        <w:spacing w:line="360" w:lineRule="auto"/>
        <w:rPr>
          <w:highlight w:val="green"/>
        </w:rPr>
      </w:pPr>
    </w:p>
    <w:p w:rsidR="001D6A5D" w:rsidRDefault="001D6A5D" w:rsidP="001D6A5D">
      <w:pPr>
        <w:pStyle w:val="Odstavecseseznamem"/>
        <w:numPr>
          <w:ilvl w:val="0"/>
          <w:numId w:val="9"/>
        </w:numPr>
        <w:spacing w:line="360" w:lineRule="auto"/>
        <w:jc w:val="both"/>
      </w:pPr>
      <w:proofErr w:type="spellStart"/>
      <w:r w:rsidRPr="001D6A5D">
        <w:rPr>
          <w:highlight w:val="green"/>
        </w:rPr>
        <w:t>Suxamethonium</w:t>
      </w:r>
      <w:proofErr w:type="spellEnd"/>
      <w:r w:rsidRPr="001D6A5D">
        <w:rPr>
          <w:highlight w:val="green"/>
        </w:rPr>
        <w:t xml:space="preserve"> jodid</w:t>
      </w:r>
      <w:r>
        <w:t xml:space="preserve"> (100 mg v lahvičce, prášek)</w:t>
      </w:r>
    </w:p>
    <w:p w:rsidR="001D6A5D" w:rsidRDefault="001D6A5D" w:rsidP="001D6A5D">
      <w:pPr>
        <w:spacing w:line="360" w:lineRule="auto"/>
        <w:ind w:left="360"/>
        <w:jc w:val="both"/>
      </w:pPr>
    </w:p>
    <w:p w:rsidR="001D6A5D" w:rsidRDefault="001D6A5D" w:rsidP="001D6A5D">
      <w:pPr>
        <w:pStyle w:val="Odstavecseseznamem"/>
        <w:numPr>
          <w:ilvl w:val="0"/>
          <w:numId w:val="9"/>
        </w:numPr>
        <w:spacing w:line="360" w:lineRule="auto"/>
        <w:jc w:val="both"/>
      </w:pPr>
      <w:r>
        <w:rPr>
          <w:noProof/>
        </w:rPr>
        <w:drawing>
          <wp:anchor distT="0" distB="0" distL="114300" distR="114300" simplePos="0" relativeHeight="251684864" behindDoc="1" locked="0" layoutInCell="1" allowOverlap="1">
            <wp:simplePos x="0" y="0"/>
            <wp:positionH relativeFrom="column">
              <wp:posOffset>1905</wp:posOffset>
            </wp:positionH>
            <wp:positionV relativeFrom="paragraph">
              <wp:posOffset>-8890</wp:posOffset>
            </wp:positionV>
            <wp:extent cx="1625600" cy="2165350"/>
            <wp:effectExtent l="0" t="0" r="0" b="6350"/>
            <wp:wrapTight wrapText="bothSides">
              <wp:wrapPolygon edited="0">
                <wp:start x="0" y="0"/>
                <wp:lineTo x="0" y="21473"/>
                <wp:lineTo x="21263" y="21473"/>
                <wp:lineTo x="21263" y="0"/>
                <wp:lineTo x="0" y="0"/>
              </wp:wrapPolygon>
            </wp:wrapTight>
            <wp:docPr id="14" name="Obrázek 14" descr="http://static.adcc.sk/media/images/products/HL/127362/0_qmdgxn0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adcc.sk/media/images/products/HL/127362/0_qmdgxn0_400x400.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25600" cy="2165350"/>
                    </a:xfrm>
                    <a:prstGeom prst="rect">
                      <a:avLst/>
                    </a:prstGeom>
                    <a:noFill/>
                  </pic:spPr>
                </pic:pic>
              </a:graphicData>
            </a:graphic>
            <wp14:sizeRelH relativeFrom="page">
              <wp14:pctWidth>0</wp14:pctWidth>
            </wp14:sizeRelH>
            <wp14:sizeRelV relativeFrom="page">
              <wp14:pctHeight>0</wp14:pctHeight>
            </wp14:sizeRelV>
          </wp:anchor>
        </w:drawing>
      </w:r>
      <w:r>
        <w:t xml:space="preserve"> Velmi krátce působící periferní svalové relaxans </w:t>
      </w:r>
      <w:proofErr w:type="spellStart"/>
      <w:r>
        <w:t>depolarizujícího</w:t>
      </w:r>
      <w:proofErr w:type="spellEnd"/>
      <w:r>
        <w:t xml:space="preserve"> typu; výborně relaxuje zejména svalstvo hrtanu. Účinek se manifestuje svalovými stahy, po nichž následuje relaxace (cca 3 minuty). </w:t>
      </w:r>
      <w:proofErr w:type="spellStart"/>
      <w:r>
        <w:t>Suxamethonium</w:t>
      </w:r>
      <w:proofErr w:type="spellEnd"/>
      <w:r>
        <w:t xml:space="preserve"> se používá jako svalové relaxans pro usnadnění endotracheální intubace a mechanické ventilace. Používá se rovněž při závažném laryngospasmu a k redukci intenzity svalových kontrakcí spojených s farmakologicky nebo elektricky vyvolanými křečemi. </w:t>
      </w:r>
    </w:p>
    <w:p w:rsidR="001D6A5D" w:rsidRDefault="001D6A5D" w:rsidP="001D6A5D">
      <w:pPr>
        <w:pStyle w:val="Odstavecseseznamem"/>
        <w:numPr>
          <w:ilvl w:val="0"/>
          <w:numId w:val="9"/>
        </w:numPr>
        <w:spacing w:line="360" w:lineRule="auto"/>
        <w:jc w:val="both"/>
      </w:pPr>
      <w:r>
        <w:t xml:space="preserve">Přípravek nemá žádný účinek na úroveň vědomí, nesmí být podáván pacientovi, který není v bezvědomí. Přípravek nesmí být podán u pacientů s předchozím případem </w:t>
      </w:r>
      <w:proofErr w:type="spellStart"/>
      <w:r>
        <w:t>hyperkalémie</w:t>
      </w:r>
      <w:proofErr w:type="spellEnd"/>
      <w:r>
        <w:t xml:space="preserve"> (</w:t>
      </w:r>
      <w:proofErr w:type="spellStart"/>
      <w:r>
        <w:t>polytrauma</w:t>
      </w:r>
      <w:proofErr w:type="spellEnd"/>
      <w:r>
        <w:t xml:space="preserve">, těžké úrazy, selhání ledvin v anamnéze, popáleniny). Při rozvoji svalové ztuhlosti počínaje žvýkacími svaly a příznaků maligní hypertermie s hyperventilací a rychlým vzestupem tělesné teploty je okamžitým kauzálním lékem nitrožilně podaný </w:t>
      </w:r>
      <w:proofErr w:type="spellStart"/>
      <w:r>
        <w:t>dantrolen</w:t>
      </w:r>
      <w:proofErr w:type="spellEnd"/>
      <w:r>
        <w:t xml:space="preserve"> a komplexní symptomatická léčba. V současné době je variantou preparát </w:t>
      </w:r>
      <w:proofErr w:type="spellStart"/>
      <w:r>
        <w:t>Suxamethonium</w:t>
      </w:r>
      <w:proofErr w:type="spellEnd"/>
      <w:r>
        <w:t xml:space="preserve"> </w:t>
      </w:r>
      <w:r w:rsidRPr="001D6A5D">
        <w:rPr>
          <w:i/>
        </w:rPr>
        <w:t>chlorid</w:t>
      </w:r>
      <w:r>
        <w:t>.</w:t>
      </w:r>
    </w:p>
    <w:p w:rsidR="001D6A5D" w:rsidRDefault="001D6A5D" w:rsidP="001D6A5D">
      <w:pPr>
        <w:spacing w:line="360" w:lineRule="auto"/>
        <w:ind w:left="360"/>
        <w:jc w:val="both"/>
        <w:rPr>
          <w:b/>
          <w:highlight w:val="yellow"/>
        </w:rPr>
      </w:pPr>
    </w:p>
    <w:p w:rsidR="001D6A5D" w:rsidRDefault="001D6A5D" w:rsidP="001D6A5D">
      <w:pPr>
        <w:spacing w:line="360" w:lineRule="auto"/>
        <w:ind w:left="360"/>
        <w:jc w:val="both"/>
        <w:rPr>
          <w:b/>
          <w:highlight w:val="yellow"/>
        </w:rPr>
      </w:pPr>
    </w:p>
    <w:p w:rsidR="001D6A5D" w:rsidRPr="001D6A5D" w:rsidRDefault="001D6A5D" w:rsidP="001D6A5D">
      <w:pPr>
        <w:spacing w:line="360" w:lineRule="auto"/>
        <w:ind w:left="360"/>
        <w:jc w:val="both"/>
        <w:rPr>
          <w:b/>
        </w:rPr>
      </w:pPr>
      <w:proofErr w:type="spellStart"/>
      <w:r w:rsidRPr="001D6A5D">
        <w:rPr>
          <w:b/>
          <w:highlight w:val="yellow"/>
        </w:rPr>
        <w:t>Depolarizující</w:t>
      </w:r>
      <w:proofErr w:type="spellEnd"/>
      <w:r w:rsidRPr="001D6A5D">
        <w:rPr>
          <w:b/>
          <w:highlight w:val="yellow"/>
        </w:rPr>
        <w:t xml:space="preserve"> </w:t>
      </w:r>
      <w:proofErr w:type="spellStart"/>
      <w:r w:rsidRPr="001D6A5D">
        <w:rPr>
          <w:b/>
          <w:highlight w:val="yellow"/>
        </w:rPr>
        <w:t>myorelaxancia</w:t>
      </w:r>
      <w:proofErr w:type="spellEnd"/>
      <w:r w:rsidRPr="001D6A5D">
        <w:rPr>
          <w:b/>
        </w:rPr>
        <w:t xml:space="preserve"> </w:t>
      </w:r>
    </w:p>
    <w:p w:rsidR="001D6A5D" w:rsidRDefault="001D6A5D" w:rsidP="001D6A5D">
      <w:pPr>
        <w:pStyle w:val="Odstavecseseznamem"/>
        <w:numPr>
          <w:ilvl w:val="0"/>
          <w:numId w:val="9"/>
        </w:numPr>
        <w:spacing w:line="360" w:lineRule="auto"/>
        <w:jc w:val="both"/>
      </w:pPr>
      <w:r>
        <w:t xml:space="preserve">Po jejich vazbě dochází k depolarizaci, po které následuje opožděná </w:t>
      </w:r>
      <w:proofErr w:type="spellStart"/>
      <w:r>
        <w:t>repolarizace</w:t>
      </w:r>
      <w:proofErr w:type="spellEnd"/>
      <w:r>
        <w:t>, která brání kontrakčním účinkům acetylcholinu (</w:t>
      </w:r>
      <w:proofErr w:type="spellStart"/>
      <w:r w:rsidRPr="001D6A5D">
        <w:rPr>
          <w:i/>
        </w:rPr>
        <w:t>sukcinylcholinjodid</w:t>
      </w:r>
      <w:proofErr w:type="spellEnd"/>
      <w:r>
        <w:t>). Zároveň depolarizují příčně pruhovaná svalová vlákna</w:t>
      </w:r>
    </w:p>
    <w:p w:rsidR="001D6A5D" w:rsidRDefault="001D6A5D" w:rsidP="001D6A5D">
      <w:pPr>
        <w:pStyle w:val="Odstavecseseznamem"/>
        <w:numPr>
          <w:ilvl w:val="0"/>
          <w:numId w:val="9"/>
        </w:numPr>
        <w:spacing w:line="360" w:lineRule="auto"/>
        <w:jc w:val="both"/>
      </w:pPr>
      <w:r>
        <w:sym w:font="Times New Roman" w:char="F097"/>
      </w:r>
      <w:r>
        <w:t xml:space="preserve"> Nepůsobí na srdeční a hladkou svalovinu. Doba účinku je několikaminutová a po dobu svalové relaxace je nutno řízené dýchání. Nemají </w:t>
      </w:r>
      <w:proofErr w:type="spellStart"/>
      <w:r>
        <w:t>antidota</w:t>
      </w:r>
      <w:proofErr w:type="spellEnd"/>
      <w:r>
        <w:t xml:space="preserve">. Svalové myoklonie (záškuby) probíhající od obočí k palcům na nohách za cca 1 min. Pacient přestává dýchat v době, kdy se záškuby objeví na </w:t>
      </w:r>
      <w:proofErr w:type="gramStart"/>
      <w:r>
        <w:t>hrudníku - ideální</w:t>
      </w:r>
      <w:proofErr w:type="gramEnd"/>
      <w:r>
        <w:t xml:space="preserve"> doba pro endotracheální intubaci – záškuby na </w:t>
      </w:r>
      <w:proofErr w:type="spellStart"/>
      <w:r>
        <w:t>ploskách</w:t>
      </w:r>
      <w:proofErr w:type="spellEnd"/>
      <w:r>
        <w:t xml:space="preserve"> nohou (za cca 2 min.). Může se objevit závažná bradykardie až asystolie. Účinek mizí za cca </w:t>
      </w:r>
      <w:proofErr w:type="gramStart"/>
      <w:r>
        <w:t>4-5min</w:t>
      </w:r>
      <w:proofErr w:type="gramEnd"/>
      <w:r>
        <w:t xml:space="preserve">. po obvyklé dávce. U určité populace může v důsledku záškubů přetrvávat bolest svalů po anestezii. </w:t>
      </w:r>
    </w:p>
    <w:p w:rsidR="001D6A5D" w:rsidRPr="001D6A5D" w:rsidRDefault="001D6A5D" w:rsidP="001D6A5D">
      <w:pPr>
        <w:pStyle w:val="Odstavecseseznamem"/>
        <w:numPr>
          <w:ilvl w:val="0"/>
          <w:numId w:val="9"/>
        </w:numPr>
        <w:spacing w:line="360" w:lineRule="auto"/>
        <w:jc w:val="both"/>
        <w:rPr>
          <w:b/>
          <w:highlight w:val="yellow"/>
        </w:rPr>
      </w:pPr>
    </w:p>
    <w:p w:rsidR="001D6A5D" w:rsidRPr="001D6A5D" w:rsidRDefault="001D6A5D" w:rsidP="001D6A5D">
      <w:pPr>
        <w:pStyle w:val="Odstavecseseznamem"/>
        <w:numPr>
          <w:ilvl w:val="0"/>
          <w:numId w:val="9"/>
        </w:numPr>
        <w:spacing w:line="360" w:lineRule="auto"/>
        <w:jc w:val="both"/>
        <w:rPr>
          <w:b/>
        </w:rPr>
      </w:pPr>
      <w:proofErr w:type="spellStart"/>
      <w:r w:rsidRPr="001D6A5D">
        <w:rPr>
          <w:b/>
          <w:highlight w:val="yellow"/>
        </w:rPr>
        <w:t>Nedepolarizující</w:t>
      </w:r>
      <w:proofErr w:type="spellEnd"/>
      <w:r w:rsidRPr="001D6A5D">
        <w:rPr>
          <w:b/>
          <w:highlight w:val="yellow"/>
        </w:rPr>
        <w:t xml:space="preserve"> </w:t>
      </w:r>
      <w:proofErr w:type="spellStart"/>
      <w:r w:rsidRPr="001D6A5D">
        <w:rPr>
          <w:b/>
          <w:highlight w:val="yellow"/>
        </w:rPr>
        <w:t>myorelaxancia</w:t>
      </w:r>
      <w:proofErr w:type="spellEnd"/>
      <w:r w:rsidRPr="001D6A5D">
        <w:rPr>
          <w:b/>
        </w:rPr>
        <w:t xml:space="preserve"> </w:t>
      </w:r>
    </w:p>
    <w:p w:rsidR="001D6A5D" w:rsidRDefault="001D6A5D" w:rsidP="001D6A5D">
      <w:pPr>
        <w:pStyle w:val="Odstavecseseznamem"/>
        <w:numPr>
          <w:ilvl w:val="0"/>
          <w:numId w:val="9"/>
        </w:numPr>
        <w:spacing w:line="360" w:lineRule="auto"/>
        <w:jc w:val="both"/>
      </w:pPr>
      <w:r>
        <w:lastRenderedPageBreak/>
        <w:t xml:space="preserve">Léčiva i toxiny obsazující acetylcholinové </w:t>
      </w:r>
      <w:proofErr w:type="gramStart"/>
      <w:r>
        <w:t>receptory</w:t>
      </w:r>
      <w:proofErr w:type="gramEnd"/>
      <w:r>
        <w:t xml:space="preserve"> aniž by působily depolarizaci. Vazba je pevnější než v případě nepolarizujících </w:t>
      </w:r>
      <w:proofErr w:type="gramStart"/>
      <w:r>
        <w:t>relaxancií - délka</w:t>
      </w:r>
      <w:proofErr w:type="gramEnd"/>
      <w:r>
        <w:t xml:space="preserve"> účinku je výrazně delší (desítky minut po obvyklých dávkách). Odbourávají se v játrech a ledvinách. Jako </w:t>
      </w:r>
      <w:proofErr w:type="spellStart"/>
      <w:r>
        <w:t>antidotum</w:t>
      </w:r>
      <w:proofErr w:type="spellEnd"/>
      <w:r>
        <w:t xml:space="preserve"> lze použít krátkodobé inhibitory </w:t>
      </w:r>
      <w:hyperlink r:id="rId20" w:tooltip="ACHE (stránka neexistuje)" w:history="1">
        <w:r w:rsidRPr="001D6A5D">
          <w:rPr>
            <w:rStyle w:val="Hypertextovodkaz"/>
            <w:rFonts w:eastAsia="Calibri"/>
            <w:color w:val="000000"/>
          </w:rPr>
          <w:t>ACHE</w:t>
        </w:r>
      </w:hyperlink>
      <w:r w:rsidRPr="001D6A5D">
        <w:rPr>
          <w:color w:val="000000"/>
        </w:rPr>
        <w:t xml:space="preserve"> – </w:t>
      </w:r>
      <w:proofErr w:type="spellStart"/>
      <w:r w:rsidRPr="001D6A5D">
        <w:rPr>
          <w:color w:val="000000"/>
        </w:rPr>
        <w:t>neostigmin</w:t>
      </w:r>
      <w:proofErr w:type="spellEnd"/>
      <w:r w:rsidRPr="001D6A5D">
        <w:rPr>
          <w:color w:val="000000"/>
        </w:rPr>
        <w:t>.</w:t>
      </w:r>
    </w:p>
    <w:p w:rsidR="001D6A5D" w:rsidRDefault="001D6A5D" w:rsidP="001D6A5D">
      <w:pPr>
        <w:pStyle w:val="Odstavecseseznamem"/>
        <w:numPr>
          <w:ilvl w:val="0"/>
          <w:numId w:val="9"/>
        </w:numPr>
        <w:spacing w:line="360" w:lineRule="auto"/>
        <w:jc w:val="both"/>
      </w:pPr>
      <w:r>
        <w:t xml:space="preserve">První projevy relaxace jsou na mimickém svalstvu. Pacient pociťuje poruchy ovládání jazyka, mimických svalů v obličeji, mumlá, řeč se stává nesrozumitelná. Později se mu hůře dýchá, dechové pohyby se zmenšují. Pak nastupuje apnoe, mizí hybnost končetin. </w:t>
      </w:r>
    </w:p>
    <w:p w:rsidR="001D6A5D" w:rsidRDefault="001D6A5D" w:rsidP="001D6A5D">
      <w:pPr>
        <w:pStyle w:val="Odstavecseseznamem"/>
        <w:numPr>
          <w:ilvl w:val="0"/>
          <w:numId w:val="9"/>
        </w:numPr>
        <w:spacing w:line="360" w:lineRule="auto"/>
        <w:jc w:val="both"/>
      </w:pPr>
      <w:r>
        <w:t xml:space="preserve">Mezi zástupce patří účinné látky </w:t>
      </w:r>
      <w:proofErr w:type="spellStart"/>
      <w:r w:rsidRPr="001D6A5D">
        <w:rPr>
          <w:i/>
        </w:rPr>
        <w:t>rocuronium</w:t>
      </w:r>
      <w:proofErr w:type="spellEnd"/>
      <w:r w:rsidRPr="001D6A5D">
        <w:rPr>
          <w:i/>
        </w:rPr>
        <w:t xml:space="preserve">, </w:t>
      </w:r>
      <w:proofErr w:type="spellStart"/>
      <w:r w:rsidRPr="001D6A5D">
        <w:rPr>
          <w:i/>
        </w:rPr>
        <w:t>pancuronium</w:t>
      </w:r>
      <w:proofErr w:type="spellEnd"/>
      <w:r w:rsidRPr="001D6A5D">
        <w:rPr>
          <w:i/>
        </w:rPr>
        <w:t xml:space="preserve">, </w:t>
      </w:r>
      <w:proofErr w:type="spellStart"/>
      <w:r w:rsidRPr="001D6A5D">
        <w:rPr>
          <w:i/>
        </w:rPr>
        <w:t>myvacurium</w:t>
      </w:r>
      <w:proofErr w:type="spellEnd"/>
      <w:r w:rsidRPr="001D6A5D">
        <w:rPr>
          <w:i/>
        </w:rPr>
        <w:t xml:space="preserve">, </w:t>
      </w:r>
      <w:proofErr w:type="spellStart"/>
      <w:r w:rsidRPr="001D6A5D">
        <w:rPr>
          <w:i/>
        </w:rPr>
        <w:t>tracrium</w:t>
      </w:r>
      <w:proofErr w:type="spellEnd"/>
      <w:r w:rsidRPr="001D6A5D">
        <w:rPr>
          <w:i/>
        </w:rPr>
        <w:t>.</w:t>
      </w:r>
      <w:r>
        <w:t xml:space="preserve"> </w:t>
      </w:r>
    </w:p>
    <w:p w:rsidR="001D6A5D" w:rsidRDefault="001D6A5D">
      <w:pPr>
        <w:spacing w:after="160" w:line="259" w:lineRule="auto"/>
        <w:rPr>
          <w:b/>
          <w:highlight w:val="yellow"/>
        </w:rPr>
      </w:pPr>
      <w:r>
        <w:rPr>
          <w:b/>
          <w:highlight w:val="yellow"/>
        </w:rPr>
        <w:br w:type="page"/>
      </w:r>
    </w:p>
    <w:p w:rsidR="001D6A5D" w:rsidRDefault="001D6A5D" w:rsidP="001D6A5D">
      <w:pPr>
        <w:spacing w:line="360" w:lineRule="auto"/>
        <w:jc w:val="both"/>
        <w:rPr>
          <w:b/>
        </w:rPr>
      </w:pPr>
      <w:r>
        <w:rPr>
          <w:b/>
          <w:highlight w:val="yellow"/>
        </w:rPr>
        <w:lastRenderedPageBreak/>
        <w:t>Analgetika</w:t>
      </w:r>
    </w:p>
    <w:p w:rsidR="001D6A5D" w:rsidRDefault="001D6A5D" w:rsidP="001D6A5D">
      <w:pPr>
        <w:spacing w:line="360" w:lineRule="auto"/>
        <w:jc w:val="both"/>
      </w:pPr>
      <w:r>
        <w:t xml:space="preserve">Léčiva využívaná k omezení či odstranění </w:t>
      </w:r>
      <w:proofErr w:type="gramStart"/>
      <w:r>
        <w:t>bolesti - jak</w:t>
      </w:r>
      <w:proofErr w:type="gramEnd"/>
      <w:r>
        <w:t xml:space="preserve"> bolesti somatické (vznikající traumatem či zánětem), tak bolesti útrobní, při různých onemocněních orgánů, která jsou většinou provázená bolestí. Základní dělení je na </w:t>
      </w:r>
      <w:proofErr w:type="spellStart"/>
      <w:r>
        <w:t>opioidní</w:t>
      </w:r>
      <w:proofErr w:type="spellEnd"/>
      <w:r>
        <w:t xml:space="preserve"> analgetika a neoplodní analgetika. </w:t>
      </w:r>
    </w:p>
    <w:p w:rsidR="001D6A5D" w:rsidRDefault="001D6A5D" w:rsidP="001D6A5D">
      <w:pPr>
        <w:spacing w:line="360" w:lineRule="auto"/>
        <w:jc w:val="both"/>
      </w:pPr>
    </w:p>
    <w:p w:rsidR="001D6A5D" w:rsidRDefault="001D6A5D" w:rsidP="001D6A5D">
      <w:pPr>
        <w:spacing w:line="360" w:lineRule="auto"/>
        <w:jc w:val="both"/>
        <w:rPr>
          <w:b/>
        </w:rPr>
      </w:pPr>
      <w:proofErr w:type="spellStart"/>
      <w:r>
        <w:rPr>
          <w:b/>
          <w:highlight w:val="yellow"/>
        </w:rPr>
        <w:t>Opioidní</w:t>
      </w:r>
      <w:proofErr w:type="spellEnd"/>
      <w:r>
        <w:rPr>
          <w:b/>
          <w:highlight w:val="yellow"/>
        </w:rPr>
        <w:t xml:space="preserve"> analgetika</w:t>
      </w:r>
    </w:p>
    <w:p w:rsidR="001D6A5D" w:rsidRDefault="001D6A5D" w:rsidP="001D6A5D">
      <w:pPr>
        <w:spacing w:line="360" w:lineRule="auto"/>
        <w:jc w:val="both"/>
      </w:pPr>
      <w:r>
        <w:t xml:space="preserve">Dříve nazývané </w:t>
      </w:r>
      <w:proofErr w:type="gramStart"/>
      <w:r>
        <w:t>opiáty - látky</w:t>
      </w:r>
      <w:proofErr w:type="gramEnd"/>
      <w:r>
        <w:t xml:space="preserve"> odvozené od opia, či narkotika - látky způsobující spánek. Mají velice silný analgetický účinek. Tlumí viscerální bolesti, potlačují psychickou složku (tlumí strach) a emotivní reakci na bolest, mají také tlumivý účinek na kašel (antitusický). Hlavním představitelem je morfin. Může se na nich vytvořit závislost. </w:t>
      </w:r>
    </w:p>
    <w:p w:rsidR="001D6A5D" w:rsidRDefault="001D6A5D" w:rsidP="001D6A5D">
      <w:pPr>
        <w:spacing w:before="100" w:beforeAutospacing="1" w:after="100" w:afterAutospacing="1" w:line="360" w:lineRule="auto"/>
        <w:rPr>
          <w:rFonts w:eastAsia="MS Mincho"/>
          <w:lang w:eastAsia="ja-JP"/>
        </w:rPr>
      </w:pPr>
      <w:r>
        <w:rPr>
          <w:rFonts w:eastAsia="MS Mincho"/>
          <w:b/>
          <w:bCs/>
          <w:lang w:eastAsia="ja-JP"/>
        </w:rPr>
        <w:t>Účinky na CNS:</w:t>
      </w:r>
      <w:r>
        <w:rPr>
          <w:rFonts w:eastAsia="MS Mincho"/>
          <w:lang w:eastAsia="ja-JP"/>
        </w:rPr>
        <w:t xml:space="preserve"> </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 xml:space="preserve">analgezie, odstranění napětí a strachu; </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 xml:space="preserve">euforie – vnitřní blaženost – vede k závislosti; </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proofErr w:type="spellStart"/>
      <w:r>
        <w:rPr>
          <w:rFonts w:eastAsia="MS Mincho"/>
          <w:color w:val="000000"/>
          <w:lang w:eastAsia="ja-JP"/>
        </w:rPr>
        <w:t>psychotomimetické</w:t>
      </w:r>
      <w:proofErr w:type="spellEnd"/>
      <w:r>
        <w:rPr>
          <w:rFonts w:eastAsia="MS Mincho"/>
          <w:color w:val="000000"/>
          <w:lang w:eastAsia="ja-JP"/>
        </w:rPr>
        <w:t xml:space="preserve"> účinky – disharmonie;</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 xml:space="preserve">ospalost, obluzení, </w:t>
      </w:r>
      <w:hyperlink r:id="rId21" w:tooltip="Bezvědomí" w:history="1">
        <w:r>
          <w:rPr>
            <w:rStyle w:val="Hypertextovodkaz"/>
            <w:rFonts w:eastAsia="MS Mincho"/>
            <w:color w:val="000000"/>
            <w:lang w:eastAsia="ja-JP"/>
          </w:rPr>
          <w:t>bezvědomí</w:t>
        </w:r>
      </w:hyperlink>
      <w:r>
        <w:rPr>
          <w:rFonts w:eastAsia="MS Mincho"/>
          <w:color w:val="000000"/>
          <w:lang w:eastAsia="ja-JP"/>
        </w:rPr>
        <w:t>;</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snížení citlivosti respiračního centra na CO</w:t>
      </w:r>
      <w:r>
        <w:rPr>
          <w:rFonts w:eastAsia="MS Mincho"/>
          <w:color w:val="000000"/>
          <w:vertAlign w:val="subscript"/>
          <w:lang w:eastAsia="ja-JP"/>
        </w:rPr>
        <w:t>2</w:t>
      </w:r>
      <w:r>
        <w:rPr>
          <w:rFonts w:eastAsia="MS Mincho"/>
          <w:color w:val="000000"/>
          <w:lang w:eastAsia="ja-JP"/>
        </w:rPr>
        <w:t xml:space="preserve"> (</w:t>
      </w:r>
      <w:proofErr w:type="spellStart"/>
      <w:r>
        <w:rPr>
          <w:rFonts w:eastAsia="MS Mincho"/>
          <w:i/>
          <w:iCs/>
          <w:color w:val="000000"/>
          <w:lang w:eastAsia="ja-JP"/>
        </w:rPr>
        <w:t>fentanyl</w:t>
      </w:r>
      <w:proofErr w:type="spellEnd"/>
      <w:r>
        <w:rPr>
          <w:rFonts w:eastAsia="MS Mincho"/>
          <w:color w:val="000000"/>
          <w:lang w:eastAsia="ja-JP"/>
        </w:rPr>
        <w:t xml:space="preserve">) útlum dýchání; </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antitusické účinky (</w:t>
      </w:r>
      <w:proofErr w:type="spellStart"/>
      <w:r>
        <w:rPr>
          <w:rFonts w:eastAsia="MS Mincho"/>
          <w:i/>
          <w:iCs/>
          <w:color w:val="000000"/>
          <w:lang w:eastAsia="ja-JP"/>
        </w:rPr>
        <w:t>butamirát</w:t>
      </w:r>
      <w:proofErr w:type="spellEnd"/>
      <w:r>
        <w:rPr>
          <w:rFonts w:eastAsia="MS Mincho"/>
          <w:i/>
          <w:iCs/>
          <w:color w:val="000000"/>
          <w:lang w:eastAsia="ja-JP"/>
        </w:rPr>
        <w:t>);</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proofErr w:type="spellStart"/>
      <w:r>
        <w:rPr>
          <w:rFonts w:eastAsia="MS Mincho"/>
          <w:color w:val="000000"/>
          <w:lang w:eastAsia="ja-JP"/>
        </w:rPr>
        <w:t>nausea</w:t>
      </w:r>
      <w:proofErr w:type="spellEnd"/>
      <w:r>
        <w:rPr>
          <w:rFonts w:eastAsia="MS Mincho"/>
          <w:color w:val="000000"/>
          <w:lang w:eastAsia="ja-JP"/>
        </w:rPr>
        <w:t xml:space="preserve">/zvracení – vlivem na oblast v prodloužené míše – mizí po opakovaném podávání či s přídavkem </w:t>
      </w:r>
      <w:hyperlink r:id="rId22" w:tooltip="Antiemetika" w:history="1">
        <w:r>
          <w:rPr>
            <w:rStyle w:val="Hypertextovodkaz"/>
            <w:rFonts w:eastAsia="MS Mincho"/>
            <w:color w:val="000000"/>
            <w:lang w:eastAsia="ja-JP"/>
          </w:rPr>
          <w:t>antiemetik</w:t>
        </w:r>
      </w:hyperlink>
      <w:r>
        <w:rPr>
          <w:rFonts w:eastAsia="MS Mincho"/>
          <w:color w:val="000000"/>
          <w:lang w:eastAsia="ja-JP"/>
        </w:rPr>
        <w:t xml:space="preserve">; </w:t>
      </w:r>
    </w:p>
    <w:p w:rsidR="001D6A5D" w:rsidRDefault="001D6A5D" w:rsidP="001D6A5D">
      <w:pPr>
        <w:numPr>
          <w:ilvl w:val="0"/>
          <w:numId w:val="10"/>
        </w:numPr>
        <w:spacing w:before="100" w:beforeAutospacing="1" w:after="100" w:afterAutospacing="1" w:line="360" w:lineRule="auto"/>
        <w:rPr>
          <w:rFonts w:eastAsia="MS Mincho"/>
          <w:color w:val="000000"/>
          <w:lang w:eastAsia="ja-JP"/>
        </w:rPr>
      </w:pPr>
      <w:r>
        <w:rPr>
          <w:rFonts w:eastAsia="MS Mincho"/>
          <w:color w:val="000000"/>
          <w:lang w:eastAsia="ja-JP"/>
        </w:rPr>
        <w:t xml:space="preserve">mióza – </w:t>
      </w:r>
      <w:proofErr w:type="spellStart"/>
      <w:r>
        <w:rPr>
          <w:rFonts w:eastAsia="MS Mincho"/>
          <w:color w:val="000000"/>
          <w:lang w:eastAsia="ja-JP"/>
        </w:rPr>
        <w:t>marker</w:t>
      </w:r>
      <w:proofErr w:type="spellEnd"/>
      <w:r>
        <w:rPr>
          <w:rFonts w:eastAsia="MS Mincho"/>
          <w:color w:val="000000"/>
          <w:lang w:eastAsia="ja-JP"/>
        </w:rPr>
        <w:t xml:space="preserve"> intoxikace </w:t>
      </w:r>
      <w:proofErr w:type="spellStart"/>
      <w:r>
        <w:rPr>
          <w:rFonts w:eastAsia="MS Mincho"/>
          <w:color w:val="000000"/>
          <w:lang w:eastAsia="ja-JP"/>
        </w:rPr>
        <w:t>opioidy</w:t>
      </w:r>
      <w:proofErr w:type="spellEnd"/>
      <w:r>
        <w:rPr>
          <w:rFonts w:eastAsia="MS Mincho"/>
          <w:color w:val="000000"/>
          <w:lang w:eastAsia="ja-JP"/>
        </w:rPr>
        <w:t xml:space="preserve"> (kromě </w:t>
      </w:r>
      <w:proofErr w:type="spellStart"/>
      <w:r>
        <w:rPr>
          <w:rFonts w:eastAsia="MS Mincho"/>
          <w:i/>
          <w:iCs/>
          <w:color w:val="000000"/>
          <w:lang w:eastAsia="ja-JP"/>
        </w:rPr>
        <w:t>pethidinu</w:t>
      </w:r>
      <w:proofErr w:type="spellEnd"/>
      <w:r>
        <w:rPr>
          <w:rFonts w:eastAsia="MS Mincho"/>
          <w:color w:val="000000"/>
          <w:lang w:eastAsia="ja-JP"/>
        </w:rPr>
        <w:t xml:space="preserve">); </w:t>
      </w:r>
    </w:p>
    <w:p w:rsidR="001D6A5D" w:rsidRDefault="001D6A5D" w:rsidP="001D6A5D">
      <w:pPr>
        <w:numPr>
          <w:ilvl w:val="0"/>
          <w:numId w:val="10"/>
        </w:numPr>
        <w:spacing w:before="100" w:beforeAutospacing="1" w:after="100" w:afterAutospacing="1" w:line="360" w:lineRule="auto"/>
        <w:rPr>
          <w:rFonts w:eastAsia="MS Mincho"/>
          <w:lang w:eastAsia="ja-JP"/>
        </w:rPr>
      </w:pPr>
      <w:r>
        <w:rPr>
          <w:rFonts w:eastAsia="MS Mincho"/>
          <w:color w:val="000000"/>
          <w:lang w:eastAsia="ja-JP"/>
        </w:rPr>
        <w:t xml:space="preserve">neuroendokrinní – zvýšená sekrece antidiuretického hormonu. </w:t>
      </w:r>
    </w:p>
    <w:p w:rsidR="001D6A5D" w:rsidRDefault="001D6A5D" w:rsidP="001D6A5D">
      <w:pPr>
        <w:spacing w:before="100" w:beforeAutospacing="1" w:after="100" w:afterAutospacing="1" w:line="360" w:lineRule="auto"/>
        <w:ind w:left="360"/>
        <w:rPr>
          <w:rFonts w:eastAsia="MS Mincho"/>
          <w:lang w:eastAsia="ja-JP"/>
        </w:rPr>
      </w:pPr>
      <w:r>
        <w:rPr>
          <w:rFonts w:eastAsia="MS Mincho"/>
          <w:b/>
          <w:bCs/>
          <w:lang w:eastAsia="ja-JP"/>
        </w:rPr>
        <w:t>Periferní účinky OA:</w:t>
      </w:r>
      <w:r>
        <w:rPr>
          <w:rFonts w:eastAsia="MS Mincho"/>
          <w:lang w:eastAsia="ja-JP"/>
        </w:rPr>
        <w:t xml:space="preserve">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 xml:space="preserve">zvyšují tonus hladkých svalů, zpomalují střevní pasáž, spastická obstipaci);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 xml:space="preserve">z hlediska </w:t>
      </w:r>
      <w:proofErr w:type="gramStart"/>
      <w:r>
        <w:rPr>
          <w:rFonts w:eastAsia="MS Mincho"/>
          <w:color w:val="000000"/>
          <w:lang w:eastAsia="ja-JP"/>
        </w:rPr>
        <w:t>účinků  na</w:t>
      </w:r>
      <w:proofErr w:type="gramEnd"/>
      <w:r>
        <w:rPr>
          <w:rFonts w:eastAsia="MS Mincho"/>
          <w:color w:val="000000"/>
          <w:lang w:eastAsia="ja-JP"/>
        </w:rPr>
        <w:t xml:space="preserve"> </w:t>
      </w:r>
      <w:proofErr w:type="spellStart"/>
      <w:r>
        <w:rPr>
          <w:rFonts w:eastAsia="MS Mincho"/>
          <w:color w:val="000000"/>
          <w:lang w:eastAsia="ja-JP"/>
        </w:rPr>
        <w:t>hemodynamiku</w:t>
      </w:r>
      <w:proofErr w:type="spellEnd"/>
      <w:r>
        <w:rPr>
          <w:rFonts w:eastAsia="MS Mincho"/>
          <w:color w:val="000000"/>
          <w:lang w:eastAsia="ja-JP"/>
        </w:rPr>
        <w:t xml:space="preserve"> srdce lepší </w:t>
      </w:r>
      <w:proofErr w:type="spellStart"/>
      <w:r>
        <w:rPr>
          <w:rFonts w:eastAsia="MS Mincho"/>
          <w:i/>
          <w:color w:val="000000"/>
          <w:lang w:eastAsia="ja-JP"/>
        </w:rPr>
        <w:t>fentanyl</w:t>
      </w:r>
      <w:proofErr w:type="spellEnd"/>
      <w:r>
        <w:rPr>
          <w:rFonts w:eastAsia="MS Mincho"/>
          <w:color w:val="000000"/>
          <w:lang w:eastAsia="ja-JP"/>
        </w:rPr>
        <w:t xml:space="preserve"> než </w:t>
      </w:r>
      <w:r>
        <w:rPr>
          <w:rFonts w:eastAsia="MS Mincho"/>
          <w:i/>
          <w:color w:val="000000"/>
          <w:lang w:eastAsia="ja-JP"/>
        </w:rPr>
        <w:t>morfin</w:t>
      </w:r>
      <w:r>
        <w:rPr>
          <w:rFonts w:eastAsia="MS Mincho"/>
          <w:color w:val="000000"/>
          <w:lang w:eastAsia="ja-JP"/>
        </w:rPr>
        <w:t xml:space="preserve"> (hypotenze);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 xml:space="preserve">snížení tonu dělohy a děložní motility – zpomalí porod;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 xml:space="preserve">snížení pohybu řasinek epitelu (tuba, bronchy);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proofErr w:type="spellStart"/>
      <w:r>
        <w:rPr>
          <w:rFonts w:eastAsia="MS Mincho"/>
          <w:color w:val="000000"/>
          <w:lang w:eastAsia="ja-JP"/>
        </w:rPr>
        <w:t>bronchokonstrikce</w:t>
      </w:r>
      <w:proofErr w:type="spellEnd"/>
      <w:r>
        <w:rPr>
          <w:rFonts w:eastAsia="MS Mincho"/>
          <w:color w:val="000000"/>
          <w:lang w:eastAsia="ja-JP"/>
        </w:rPr>
        <w:t xml:space="preserve"> – vyplavením histaminu (</w:t>
      </w:r>
      <w:r>
        <w:rPr>
          <w:rFonts w:eastAsia="MS Mincho"/>
          <w:i/>
          <w:color w:val="000000"/>
          <w:lang w:eastAsia="ja-JP"/>
        </w:rPr>
        <w:t>morfin</w:t>
      </w:r>
      <w:r>
        <w:rPr>
          <w:rFonts w:eastAsia="MS Mincho"/>
          <w:color w:val="000000"/>
          <w:lang w:eastAsia="ja-JP"/>
        </w:rPr>
        <w:t xml:space="preserve">); </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svalová rigidita – (</w:t>
      </w:r>
      <w:proofErr w:type="spellStart"/>
      <w:r>
        <w:rPr>
          <w:rFonts w:eastAsia="MS Mincho"/>
          <w:i/>
          <w:color w:val="000000"/>
          <w:lang w:eastAsia="ja-JP"/>
        </w:rPr>
        <w:t>fentanyl</w:t>
      </w:r>
      <w:proofErr w:type="spellEnd"/>
      <w:r>
        <w:rPr>
          <w:rFonts w:eastAsia="MS Mincho"/>
          <w:color w:val="000000"/>
          <w:lang w:eastAsia="ja-JP"/>
        </w:rPr>
        <w:t>);</w:t>
      </w:r>
    </w:p>
    <w:p w:rsidR="001D6A5D" w:rsidRDefault="001D6A5D" w:rsidP="001D6A5D">
      <w:pPr>
        <w:numPr>
          <w:ilvl w:val="0"/>
          <w:numId w:val="11"/>
        </w:numPr>
        <w:spacing w:before="100" w:beforeAutospacing="1" w:after="100" w:afterAutospacing="1" w:line="360" w:lineRule="auto"/>
        <w:rPr>
          <w:rFonts w:eastAsia="MS Mincho"/>
          <w:color w:val="000000"/>
          <w:lang w:eastAsia="ja-JP"/>
        </w:rPr>
      </w:pPr>
      <w:r>
        <w:rPr>
          <w:rFonts w:eastAsia="MS Mincho"/>
          <w:color w:val="000000"/>
          <w:lang w:eastAsia="ja-JP"/>
        </w:rPr>
        <w:t xml:space="preserve">prostupují do mateřského mléka, průnik </w:t>
      </w:r>
      <w:hyperlink r:id="rId23" w:tooltip="Placentární bariéra (stránka neexistuje)" w:history="1">
        <w:r>
          <w:rPr>
            <w:rStyle w:val="Hypertextovodkaz"/>
            <w:rFonts w:eastAsia="MS Mincho"/>
            <w:color w:val="000000"/>
            <w:lang w:eastAsia="ja-JP"/>
          </w:rPr>
          <w:t>placentární bariérou</w:t>
        </w:r>
      </w:hyperlink>
      <w:r>
        <w:rPr>
          <w:rFonts w:eastAsia="MS Mincho"/>
          <w:color w:val="000000"/>
          <w:lang w:eastAsia="ja-JP"/>
        </w:rPr>
        <w:t xml:space="preserve"> – deprese dýchání. </w:t>
      </w:r>
    </w:p>
    <w:p w:rsidR="001D6A5D" w:rsidRDefault="001D6A5D" w:rsidP="001D6A5D">
      <w:pPr>
        <w:spacing w:line="360" w:lineRule="auto"/>
        <w:jc w:val="both"/>
      </w:pPr>
      <w:r>
        <w:lastRenderedPageBreak/>
        <w:t xml:space="preserve">Vedlejším účinkem </w:t>
      </w:r>
      <w:proofErr w:type="spellStart"/>
      <w:r>
        <w:t>opioidů</w:t>
      </w:r>
      <w:proofErr w:type="spellEnd"/>
      <w:r>
        <w:t xml:space="preserve"> je svědění kůže (pruritus) zvláště v oblasti obličeje, velmi často to lze pozorovat u dětí. Pacient, který se po podání </w:t>
      </w:r>
      <w:proofErr w:type="spellStart"/>
      <w:r>
        <w:t>opioidu</w:t>
      </w:r>
      <w:proofErr w:type="spellEnd"/>
      <w:r>
        <w:t xml:space="preserve"> začne drbat na nose a pod nosem, má dostatečnou dávku. Třebaže se analgetický efekt ještě nerozvinul úplně. Mezi další nežádoucí účinky patří deprese dýchání, nauzea, závratě, zvýšený tlak </w:t>
      </w:r>
      <w:proofErr w:type="gramStart"/>
      <w:r>
        <w:t>v</w:t>
      </w:r>
      <w:proofErr w:type="gramEnd"/>
      <w:r>
        <w:t xml:space="preserve"> žlučových cestách, retence moči, hypotenze. Mezi známky intoxikace patří mióza, zvýšený práh bolesti, snížená dechová frekvence, hypoventilace, bezvědomí, křeče. </w:t>
      </w:r>
    </w:p>
    <w:p w:rsidR="001D6A5D" w:rsidRDefault="001D6A5D" w:rsidP="001D6A5D">
      <w:pPr>
        <w:spacing w:line="360" w:lineRule="auto"/>
        <w:jc w:val="both"/>
      </w:pPr>
    </w:p>
    <w:p w:rsidR="001D6A5D" w:rsidRDefault="001D6A5D" w:rsidP="001D6A5D">
      <w:pPr>
        <w:spacing w:line="360" w:lineRule="auto"/>
        <w:jc w:val="both"/>
      </w:pPr>
      <w:r>
        <w:t xml:space="preserve">Mezi zástupce slabých </w:t>
      </w:r>
      <w:proofErr w:type="spellStart"/>
      <w:r>
        <w:t>opioidů</w:t>
      </w:r>
      <w:proofErr w:type="spellEnd"/>
      <w:r>
        <w:t xml:space="preserve"> patří kodein, </w:t>
      </w:r>
      <w:proofErr w:type="spellStart"/>
      <w:r>
        <w:t>tramadol</w:t>
      </w:r>
      <w:proofErr w:type="spellEnd"/>
      <w:r>
        <w:t xml:space="preserve">, pentazocin. Mezi silné </w:t>
      </w:r>
      <w:proofErr w:type="spellStart"/>
      <w:r>
        <w:t>opioidy</w:t>
      </w:r>
      <w:proofErr w:type="spellEnd"/>
      <w:r>
        <w:t xml:space="preserve"> morfin, </w:t>
      </w:r>
      <w:proofErr w:type="spellStart"/>
      <w:r>
        <w:t>pethidin</w:t>
      </w:r>
      <w:proofErr w:type="spellEnd"/>
      <w:r>
        <w:t xml:space="preserve">, metadon. </w:t>
      </w: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rPr>
          <w:b/>
        </w:rPr>
      </w:pPr>
      <w:proofErr w:type="spellStart"/>
      <w:r>
        <w:rPr>
          <w:b/>
          <w:highlight w:val="yellow"/>
        </w:rPr>
        <w:t>Neopioidní</w:t>
      </w:r>
      <w:proofErr w:type="spellEnd"/>
      <w:r>
        <w:rPr>
          <w:b/>
          <w:highlight w:val="yellow"/>
        </w:rPr>
        <w:t xml:space="preserve"> analgetika</w:t>
      </w:r>
    </w:p>
    <w:p w:rsidR="001D6A5D" w:rsidRDefault="001D6A5D" w:rsidP="001D6A5D">
      <w:pPr>
        <w:spacing w:before="100" w:beforeAutospacing="1" w:after="100" w:afterAutospacing="1" w:line="360" w:lineRule="auto"/>
        <w:jc w:val="both"/>
        <w:rPr>
          <w:rFonts w:eastAsia="MS Mincho"/>
          <w:lang w:eastAsia="ja-JP"/>
        </w:rPr>
      </w:pPr>
      <w:r>
        <w:t>Jsou léčiva, která působí analgeticky</w:t>
      </w:r>
      <w:r>
        <w:rPr>
          <w:color w:val="000000"/>
        </w:rPr>
        <w:t xml:space="preserve">, antipyreticky a zčásti i antiflogisticky. Mezi analgetika-antipyretika patří </w:t>
      </w:r>
      <w:proofErr w:type="spellStart"/>
      <w:r>
        <w:rPr>
          <w:color w:val="000000"/>
        </w:rPr>
        <w:t>metamizol</w:t>
      </w:r>
      <w:proofErr w:type="spellEnd"/>
      <w:r>
        <w:rPr>
          <w:color w:val="000000"/>
        </w:rPr>
        <w:t xml:space="preserve">, paracetamol, kyselina acetylsalicylová. Mezi nesteroidní antirevmatika patří </w:t>
      </w:r>
      <w:proofErr w:type="spellStart"/>
      <w:r>
        <w:rPr>
          <w:color w:val="000000"/>
        </w:rPr>
        <w:t>nimesulid</w:t>
      </w:r>
      <w:proofErr w:type="spellEnd"/>
      <w:r>
        <w:rPr>
          <w:color w:val="000000"/>
        </w:rPr>
        <w:t xml:space="preserve">, </w:t>
      </w:r>
      <w:proofErr w:type="spellStart"/>
      <w:r>
        <w:rPr>
          <w:color w:val="000000"/>
        </w:rPr>
        <w:t>diklofenak</w:t>
      </w:r>
      <w:proofErr w:type="spellEnd"/>
      <w:r>
        <w:rPr>
          <w:color w:val="000000"/>
        </w:rPr>
        <w:t xml:space="preserve">, ibuprofen. Tyto léky způsobují při chronickém užívání </w:t>
      </w:r>
      <w:r>
        <w:rPr>
          <w:rFonts w:eastAsia="MS Mincho"/>
          <w:color w:val="000000"/>
          <w:lang w:eastAsia="ja-JP"/>
        </w:rPr>
        <w:t>časté epigastrické obtíže (</w:t>
      </w:r>
      <w:hyperlink r:id="rId24" w:tooltip="Pyróza (stránka neexistuje)" w:history="1">
        <w:r>
          <w:rPr>
            <w:rStyle w:val="Hypertextovodkaz"/>
            <w:rFonts w:eastAsia="MS Mincho"/>
            <w:color w:val="000000"/>
            <w:lang w:eastAsia="ja-JP"/>
          </w:rPr>
          <w:t>pyróza</w:t>
        </w:r>
      </w:hyperlink>
      <w:r>
        <w:rPr>
          <w:rFonts w:eastAsia="MS Mincho"/>
          <w:color w:val="000000"/>
          <w:lang w:eastAsia="ja-JP"/>
        </w:rPr>
        <w:t xml:space="preserve">, </w:t>
      </w:r>
      <w:hyperlink r:id="rId25" w:tooltip="Dyspepsie" w:history="1">
        <w:r>
          <w:rPr>
            <w:rStyle w:val="Hypertextovodkaz"/>
            <w:rFonts w:eastAsia="MS Mincho"/>
            <w:color w:val="000000"/>
            <w:lang w:eastAsia="ja-JP"/>
          </w:rPr>
          <w:t>dyspepsie</w:t>
        </w:r>
      </w:hyperlink>
      <w:r>
        <w:rPr>
          <w:rFonts w:eastAsia="MS Mincho"/>
          <w:color w:val="000000"/>
          <w:lang w:eastAsia="ja-JP"/>
        </w:rPr>
        <w:t xml:space="preserve">), občasné (1–10 %) – alergické reakce, </w:t>
      </w:r>
      <w:hyperlink r:id="rId26" w:tooltip="Exantém" w:history="1">
        <w:proofErr w:type="spellStart"/>
        <w:r>
          <w:rPr>
            <w:rStyle w:val="Hypertextovodkaz"/>
            <w:rFonts w:eastAsia="MS Mincho"/>
            <w:color w:val="000000"/>
            <w:lang w:eastAsia="ja-JP"/>
          </w:rPr>
          <w:t>exantém</w:t>
        </w:r>
        <w:proofErr w:type="spellEnd"/>
      </w:hyperlink>
      <w:r>
        <w:rPr>
          <w:rFonts w:eastAsia="MS Mincho"/>
          <w:color w:val="000000"/>
          <w:lang w:eastAsia="ja-JP"/>
        </w:rPr>
        <w:t>, kopřivka. U kyseliny acetylsalicylové se může vyskytnout krvácivost.</w:t>
      </w:r>
      <w:r>
        <w:rPr>
          <w:rFonts w:eastAsia="MS Mincho"/>
          <w:lang w:eastAsia="ja-JP"/>
        </w:rPr>
        <w:t xml:space="preserve">  </w:t>
      </w:r>
    </w:p>
    <w:p w:rsidR="001D6A5D" w:rsidRDefault="001D6A5D">
      <w:pPr>
        <w:spacing w:after="160" w:line="259" w:lineRule="auto"/>
        <w:rPr>
          <w:highlight w:val="green"/>
        </w:rPr>
      </w:pPr>
      <w:r>
        <w:rPr>
          <w:highlight w:val="green"/>
        </w:rPr>
        <w:br w:type="page"/>
      </w:r>
    </w:p>
    <w:p w:rsidR="001D6A5D" w:rsidRDefault="001D6A5D" w:rsidP="001D6A5D">
      <w:pPr>
        <w:spacing w:line="360" w:lineRule="auto"/>
        <w:jc w:val="both"/>
      </w:pPr>
      <w:r>
        <w:rPr>
          <w:noProof/>
        </w:rPr>
        <w:lastRenderedPageBreak/>
        <w:drawing>
          <wp:anchor distT="0" distB="0" distL="114300" distR="114300" simplePos="0" relativeHeight="251686912" behindDoc="1" locked="0" layoutInCell="1" allowOverlap="1">
            <wp:simplePos x="0" y="0"/>
            <wp:positionH relativeFrom="column">
              <wp:posOffset>-3810</wp:posOffset>
            </wp:positionH>
            <wp:positionV relativeFrom="paragraph">
              <wp:posOffset>259080</wp:posOffset>
            </wp:positionV>
            <wp:extent cx="2289810" cy="1917065"/>
            <wp:effectExtent l="0" t="0" r="0" b="6985"/>
            <wp:wrapTight wrapText="bothSides">
              <wp:wrapPolygon edited="0">
                <wp:start x="0" y="0"/>
                <wp:lineTo x="0" y="21464"/>
                <wp:lineTo x="21384" y="21464"/>
                <wp:lineTo x="21384" y="0"/>
                <wp:lineTo x="0" y="0"/>
              </wp:wrapPolygon>
            </wp:wrapTight>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9810" cy="19170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highlight w:val="green"/>
        </w:rPr>
        <w:t>Tramal</w:t>
      </w:r>
      <w:proofErr w:type="spellEnd"/>
      <w:r>
        <w:t xml:space="preserve"> (</w:t>
      </w:r>
      <w:proofErr w:type="spellStart"/>
      <w:r>
        <w:t>tramadoli</w:t>
      </w:r>
      <w:proofErr w:type="spellEnd"/>
      <w:r>
        <w:t xml:space="preserve"> </w:t>
      </w:r>
      <w:proofErr w:type="spellStart"/>
      <w:r>
        <w:t>hydrochloridum</w:t>
      </w:r>
      <w:proofErr w:type="spellEnd"/>
      <w:r>
        <w:t xml:space="preserve"> 100 mg ve 2 ml)</w:t>
      </w:r>
    </w:p>
    <w:p w:rsidR="001D6A5D" w:rsidRDefault="001D6A5D" w:rsidP="001D6A5D">
      <w:pPr>
        <w:spacing w:line="360" w:lineRule="auto"/>
        <w:jc w:val="both"/>
      </w:pPr>
    </w:p>
    <w:p w:rsidR="001D6A5D" w:rsidRDefault="001D6A5D" w:rsidP="001D6A5D">
      <w:pPr>
        <w:spacing w:line="360" w:lineRule="auto"/>
        <w:jc w:val="both"/>
      </w:pPr>
      <w:proofErr w:type="spellStart"/>
      <w:r>
        <w:t>Tramadol</w:t>
      </w:r>
      <w:proofErr w:type="spellEnd"/>
      <w:r>
        <w:t xml:space="preserve"> je léčivá látka proti bolesti, který patří do skupiny </w:t>
      </w:r>
      <w:proofErr w:type="spellStart"/>
      <w:r>
        <w:t>opioidů</w:t>
      </w:r>
      <w:proofErr w:type="spellEnd"/>
      <w:r>
        <w:t xml:space="preserve"> ovlivňujících centrální nervový systém. Zmírňuje bolest působením na nervové buňky v míše a v mozku. Další mechanizmy, které přispívají k analgetickému účinku, jsou inhibice zpětného vychytávání noradrenalinu v neuronech a zvyšování uvolňování serotoninu. </w:t>
      </w:r>
      <w:proofErr w:type="spellStart"/>
      <w:r>
        <w:t>Tramadol</w:t>
      </w:r>
      <w:proofErr w:type="spellEnd"/>
      <w:r>
        <w:t xml:space="preserve"> má antitusický účinek.</w:t>
      </w:r>
    </w:p>
    <w:p w:rsidR="001D6A5D" w:rsidRDefault="001D6A5D" w:rsidP="001D6A5D">
      <w:pPr>
        <w:spacing w:line="360" w:lineRule="auto"/>
        <w:jc w:val="both"/>
      </w:pPr>
      <w:proofErr w:type="spellStart"/>
      <w:r>
        <w:rPr>
          <w:b/>
        </w:rPr>
        <w:t>Tramadol</w:t>
      </w:r>
      <w:proofErr w:type="spellEnd"/>
      <w:r>
        <w:rPr>
          <w:b/>
        </w:rPr>
        <w:t xml:space="preserve"> se podává k léčbě středně silné až silné bolesti</w:t>
      </w:r>
      <w:r>
        <w:t xml:space="preserve">. Injekční roztok se má podávat pomalu nebo naředěný v intravenózní infuzi. Přípravky TRAMAL injekční roztok 50 mg/1 ml a 100 mg/1 ml jsou určeny k podání cestou intravenózní, intramuskulární, subkutánní </w:t>
      </w:r>
      <w:r>
        <w:br/>
        <w:t>a v infuzi.</w:t>
      </w:r>
    </w:p>
    <w:p w:rsidR="001D6A5D" w:rsidRDefault="001D6A5D" w:rsidP="001D6A5D">
      <w:pPr>
        <w:spacing w:line="360" w:lineRule="auto"/>
        <w:jc w:val="both"/>
      </w:pPr>
      <w:r>
        <w:rPr>
          <w:b/>
        </w:rPr>
        <w:t xml:space="preserve">Denní dávka léčivé látky by neměla, kromě zvláštních klinických případů, překročit 400 mg. </w:t>
      </w:r>
      <w:r>
        <w:t>Pokud není předepsáno jinak, měl by být přípravek TRAMAL injekční roztok podáván následujícím způsobem:</w:t>
      </w:r>
    </w:p>
    <w:p w:rsidR="001D6A5D" w:rsidRDefault="001D6A5D" w:rsidP="001D6A5D">
      <w:pPr>
        <w:spacing w:line="360" w:lineRule="auto"/>
        <w:jc w:val="both"/>
      </w:pPr>
      <w:r>
        <w:rPr>
          <w:noProof/>
        </w:rPr>
        <w:drawing>
          <wp:inline distT="0" distB="0" distL="0" distR="0">
            <wp:extent cx="5759450" cy="1403350"/>
            <wp:effectExtent l="0" t="0" r="0" b="63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1403350"/>
                    </a:xfrm>
                    <a:prstGeom prst="rect">
                      <a:avLst/>
                    </a:prstGeom>
                    <a:noFill/>
                    <a:ln>
                      <a:noFill/>
                    </a:ln>
                  </pic:spPr>
                </pic:pic>
              </a:graphicData>
            </a:graphic>
          </wp:inline>
        </w:drawing>
      </w:r>
    </w:p>
    <w:p w:rsidR="001D6A5D" w:rsidRDefault="001D6A5D" w:rsidP="001D6A5D">
      <w:pPr>
        <w:spacing w:line="360" w:lineRule="auto"/>
        <w:jc w:val="both"/>
      </w:pPr>
    </w:p>
    <w:p w:rsidR="001D6A5D" w:rsidRDefault="001D6A5D" w:rsidP="001D6A5D">
      <w:pPr>
        <w:spacing w:line="360" w:lineRule="auto"/>
        <w:jc w:val="both"/>
        <w:rPr>
          <w:b/>
          <w:bCs/>
        </w:rPr>
      </w:pPr>
      <w:r>
        <w:rPr>
          <w:b/>
          <w:bCs/>
        </w:rPr>
        <w:t>Kontraindikace:</w:t>
      </w:r>
    </w:p>
    <w:p w:rsidR="001D6A5D" w:rsidRDefault="001D6A5D" w:rsidP="001D6A5D">
      <w:pPr>
        <w:numPr>
          <w:ilvl w:val="0"/>
          <w:numId w:val="12"/>
        </w:numPr>
        <w:spacing w:line="360" w:lineRule="auto"/>
        <w:jc w:val="both"/>
      </w:pPr>
      <w:r>
        <w:t xml:space="preserve">při hypersenzitivitě na léčivou látku </w:t>
      </w:r>
    </w:p>
    <w:p w:rsidR="001D6A5D" w:rsidRDefault="001D6A5D" w:rsidP="001D6A5D">
      <w:pPr>
        <w:numPr>
          <w:ilvl w:val="0"/>
          <w:numId w:val="12"/>
        </w:numPr>
        <w:spacing w:line="360" w:lineRule="auto"/>
        <w:jc w:val="both"/>
      </w:pPr>
      <w:r>
        <w:t xml:space="preserve">při akutní otravě alkoholem, hypnotiky, analgetiky, </w:t>
      </w:r>
      <w:proofErr w:type="spellStart"/>
      <w:r>
        <w:t>opioidy</w:t>
      </w:r>
      <w:proofErr w:type="spellEnd"/>
      <w:r>
        <w:t>, psychotropními látkami</w:t>
      </w:r>
    </w:p>
    <w:p w:rsidR="001D6A5D" w:rsidRDefault="001D6A5D" w:rsidP="001D6A5D">
      <w:pPr>
        <w:numPr>
          <w:ilvl w:val="0"/>
          <w:numId w:val="12"/>
        </w:numPr>
        <w:spacing w:line="360" w:lineRule="auto"/>
        <w:jc w:val="both"/>
      </w:pPr>
      <w:r>
        <w:t xml:space="preserve">u pacientů, kterým jsou podávány inhibitory MAO </w:t>
      </w:r>
    </w:p>
    <w:p w:rsidR="001D6A5D" w:rsidRDefault="001D6A5D" w:rsidP="001D6A5D">
      <w:pPr>
        <w:numPr>
          <w:ilvl w:val="0"/>
          <w:numId w:val="12"/>
        </w:numPr>
        <w:spacing w:line="360" w:lineRule="auto"/>
        <w:jc w:val="both"/>
      </w:pPr>
      <w:r>
        <w:t>u pacientů s epilepsií, která není léčbou dostatečně kontrolována</w:t>
      </w:r>
    </w:p>
    <w:p w:rsidR="001D6A5D" w:rsidRDefault="001D6A5D" w:rsidP="001D6A5D">
      <w:pPr>
        <w:spacing w:line="360" w:lineRule="auto"/>
        <w:jc w:val="both"/>
        <w:rPr>
          <w:sz w:val="22"/>
          <w:szCs w:val="22"/>
        </w:rPr>
      </w:pPr>
    </w:p>
    <w:p w:rsidR="001D6A5D" w:rsidRDefault="001D6A5D" w:rsidP="001D6A5D">
      <w:pPr>
        <w:spacing w:line="360" w:lineRule="auto"/>
        <w:jc w:val="both"/>
      </w:pPr>
      <w:proofErr w:type="spellStart"/>
      <w:r>
        <w:t>Tramadol</w:t>
      </w:r>
      <w:proofErr w:type="spellEnd"/>
      <w:r>
        <w:t xml:space="preserve"> může vyvolat křeče a zvýšit potenciál pro vznik křečí u těchto léků: selektivní inhibitory zpětného vychytávání serotoninu (SSRI), inhibitory zpětného vychytávání serotoninu a noradrenalinu (SNRI), </w:t>
      </w:r>
      <w:proofErr w:type="spellStart"/>
      <w:r>
        <w:t>tricyklická</w:t>
      </w:r>
      <w:proofErr w:type="spellEnd"/>
      <w:r>
        <w:t xml:space="preserve"> antidepresiva, antipsychotika a další léčivé přípravky snižující práh pro vznik křečí (jako např. </w:t>
      </w:r>
      <w:proofErr w:type="spellStart"/>
      <w:r>
        <w:t>bupropion</w:t>
      </w:r>
      <w:proofErr w:type="spellEnd"/>
      <w:r>
        <w:t xml:space="preserve">, </w:t>
      </w:r>
      <w:proofErr w:type="spellStart"/>
      <w:r>
        <w:t>mirtazapin</w:t>
      </w:r>
      <w:proofErr w:type="spellEnd"/>
      <w:r>
        <w:t xml:space="preserve">, </w:t>
      </w:r>
      <w:proofErr w:type="spellStart"/>
      <w:r>
        <w:lastRenderedPageBreak/>
        <w:t>tetrahydrokanabinol</w:t>
      </w:r>
      <w:proofErr w:type="spellEnd"/>
      <w:r>
        <w:t xml:space="preserve">). Při současném podávání </w:t>
      </w:r>
      <w:proofErr w:type="spellStart"/>
      <w:r>
        <w:t>tramadolu</w:t>
      </w:r>
      <w:proofErr w:type="spellEnd"/>
      <w:r>
        <w:t xml:space="preserve"> a kumarinových derivátů (např. </w:t>
      </w:r>
      <w:proofErr w:type="spellStart"/>
      <w:r>
        <w:t>warfarinu</w:t>
      </w:r>
      <w:proofErr w:type="spellEnd"/>
      <w:r>
        <w:t>) je třeba opatrnosti, protože u některých pacientů bylo hlášeno zvýšení INR s velkým krvácením a vznikem ekchymóz (</w:t>
      </w:r>
      <w:r>
        <w:rPr>
          <w:rStyle w:val="st"/>
          <w:rFonts w:eastAsia="Calibri"/>
        </w:rPr>
        <w:t>malé krvavé skvrny v kůži)</w:t>
      </w:r>
      <w:r>
        <w:t>.</w:t>
      </w:r>
    </w:p>
    <w:p w:rsidR="001D6A5D" w:rsidRDefault="001D6A5D" w:rsidP="001D6A5D">
      <w:pPr>
        <w:spacing w:line="360" w:lineRule="auto"/>
        <w:jc w:val="both"/>
      </w:pPr>
    </w:p>
    <w:p w:rsidR="001D6A5D" w:rsidRDefault="001D6A5D" w:rsidP="001D6A5D">
      <w:pPr>
        <w:spacing w:line="360" w:lineRule="auto"/>
        <w:jc w:val="both"/>
      </w:pPr>
      <w:r>
        <w:rPr>
          <w:b/>
        </w:rPr>
        <w:t xml:space="preserve">Nejčastěji hlášenými nežádoucími účinky jsou </w:t>
      </w:r>
      <w:r>
        <w:t>nauzea a závratě, obojí se vyskytuje u více než 10 % pacientů.</w:t>
      </w:r>
    </w:p>
    <w:p w:rsidR="001D6A5D" w:rsidRDefault="001D6A5D">
      <w:pPr>
        <w:spacing w:after="160" w:line="259" w:lineRule="auto"/>
      </w:pPr>
      <w:r>
        <w:br w:type="page"/>
      </w:r>
    </w:p>
    <w:p w:rsidR="001D6A5D" w:rsidRDefault="001D6A5D" w:rsidP="001D6A5D">
      <w:pPr>
        <w:spacing w:line="360" w:lineRule="auto"/>
      </w:pPr>
      <w:r>
        <w:rPr>
          <w:highlight w:val="green"/>
        </w:rPr>
        <w:lastRenderedPageBreak/>
        <w:t>Paralen</w:t>
      </w:r>
      <w:r>
        <w:t xml:space="preserve"> 500 mg </w:t>
      </w:r>
      <w:proofErr w:type="spellStart"/>
      <w:r>
        <w:t>tbl</w:t>
      </w:r>
      <w:proofErr w:type="spellEnd"/>
      <w:r>
        <w:t>. (</w:t>
      </w:r>
      <w:proofErr w:type="spellStart"/>
      <w:r>
        <w:t>paracetamolum</w:t>
      </w:r>
      <w:proofErr w:type="spellEnd"/>
      <w:r>
        <w:t>)</w:t>
      </w:r>
    </w:p>
    <w:p w:rsidR="001D6A5D" w:rsidRDefault="001D6A5D" w:rsidP="001D6A5D">
      <w:pPr>
        <w:spacing w:line="360" w:lineRule="auto"/>
        <w:jc w:val="both"/>
      </w:pPr>
      <w:r>
        <w:rPr>
          <w:noProof/>
        </w:rPr>
        <w:drawing>
          <wp:anchor distT="0" distB="0" distL="114300" distR="114300" simplePos="0" relativeHeight="251688960" behindDoc="1" locked="0" layoutInCell="1" allowOverlap="1">
            <wp:simplePos x="0" y="0"/>
            <wp:positionH relativeFrom="column">
              <wp:posOffset>0</wp:posOffset>
            </wp:positionH>
            <wp:positionV relativeFrom="paragraph">
              <wp:posOffset>891540</wp:posOffset>
            </wp:positionV>
            <wp:extent cx="5943600" cy="1485900"/>
            <wp:effectExtent l="0" t="0" r="0" b="0"/>
            <wp:wrapTight wrapText="bothSides">
              <wp:wrapPolygon edited="0">
                <wp:start x="0" y="0"/>
                <wp:lineTo x="0" y="21323"/>
                <wp:lineTo x="21531" y="21323"/>
                <wp:lineTo x="21531"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485900"/>
                    </a:xfrm>
                    <a:prstGeom prst="rect">
                      <a:avLst/>
                    </a:prstGeom>
                    <a:noFill/>
                  </pic:spPr>
                </pic:pic>
              </a:graphicData>
            </a:graphic>
            <wp14:sizeRelH relativeFrom="page">
              <wp14:pctWidth>0</wp14:pctWidth>
            </wp14:sizeRelH>
            <wp14:sizeRelV relativeFrom="page">
              <wp14:pctHeight>0</wp14:pctHeight>
            </wp14:sizeRelV>
          </wp:anchor>
        </w:drawing>
      </w:r>
      <w:r>
        <w:t xml:space="preserve">Mezi terapeutické indikace patří horečka, zejména při akutních bakteriálních a virových infekcích, bolesti zubů, hlavy, neuralgie, bolesti svalů nebo kloubů nezánětlivé etiologie, bolesti </w:t>
      </w:r>
      <w:proofErr w:type="spellStart"/>
      <w:r>
        <w:t>vertebrogenního</w:t>
      </w:r>
      <w:proofErr w:type="spellEnd"/>
      <w:r>
        <w:t xml:space="preserve"> původu, bolestivá menstruace.</w:t>
      </w:r>
    </w:p>
    <w:p w:rsidR="001D6A5D" w:rsidRDefault="001D6A5D" w:rsidP="001D6A5D">
      <w:pPr>
        <w:spacing w:line="360" w:lineRule="auto"/>
        <w:jc w:val="both"/>
      </w:pPr>
      <w:r>
        <w:rPr>
          <w:noProof/>
        </w:rPr>
        <w:drawing>
          <wp:anchor distT="0" distB="0" distL="114300" distR="114300" simplePos="0" relativeHeight="251689984" behindDoc="1" locked="0" layoutInCell="1" allowOverlap="1">
            <wp:simplePos x="0" y="0"/>
            <wp:positionH relativeFrom="column">
              <wp:posOffset>1028700</wp:posOffset>
            </wp:positionH>
            <wp:positionV relativeFrom="paragraph">
              <wp:posOffset>1817370</wp:posOffset>
            </wp:positionV>
            <wp:extent cx="3775710" cy="2142490"/>
            <wp:effectExtent l="0" t="0" r="0" b="0"/>
            <wp:wrapTight wrapText="bothSides">
              <wp:wrapPolygon edited="0">
                <wp:start x="0" y="0"/>
                <wp:lineTo x="0" y="21318"/>
                <wp:lineTo x="21469" y="21318"/>
                <wp:lineTo x="21469"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5710" cy="2142490"/>
                    </a:xfrm>
                    <a:prstGeom prst="rect">
                      <a:avLst/>
                    </a:prstGeom>
                    <a:noFill/>
                  </pic:spPr>
                </pic:pic>
              </a:graphicData>
            </a:graphic>
            <wp14:sizeRelH relativeFrom="page">
              <wp14:pctWidth>0</wp14:pctWidth>
            </wp14:sizeRelH>
            <wp14:sizeRelV relativeFrom="page">
              <wp14:pctHeight>0</wp14:pctHeight>
            </wp14:sizeRelV>
          </wp:anchor>
        </w:drawing>
      </w: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p>
    <w:p w:rsidR="001D6A5D" w:rsidRDefault="001D6A5D" w:rsidP="001D6A5D">
      <w:pPr>
        <w:spacing w:line="360" w:lineRule="auto"/>
        <w:jc w:val="both"/>
      </w:pPr>
      <w:r>
        <w:t xml:space="preserve">Na základě </w:t>
      </w:r>
      <w:proofErr w:type="spellStart"/>
      <w:r>
        <w:t>postmarketingových</w:t>
      </w:r>
      <w:proofErr w:type="spellEnd"/>
      <w:r>
        <w:t xml:space="preserve"> zkušeností s používáním paracetamolu vyšlo najevo, že </w:t>
      </w:r>
      <w:proofErr w:type="spellStart"/>
      <w:r>
        <w:t>hepatotoxicita</w:t>
      </w:r>
      <w:proofErr w:type="spellEnd"/>
      <w:r>
        <w:t xml:space="preserve"> paracetamolu se může vyskytnout i při použití terapeutických dávek, zejména </w:t>
      </w:r>
      <w:r>
        <w:rPr>
          <w:b/>
        </w:rPr>
        <w:t xml:space="preserve">při použití dávky </w:t>
      </w:r>
      <w:smartTag w:uri="urn:schemas-microsoft-com:office:smarttags" w:element="metricconverter">
        <w:smartTagPr>
          <w:attr w:name="ProductID" w:val="4 g"/>
        </w:smartTagPr>
        <w:r>
          <w:rPr>
            <w:b/>
          </w:rPr>
          <w:t>4 g</w:t>
        </w:r>
      </w:smartTag>
      <w:r>
        <w:rPr>
          <w:b/>
        </w:rPr>
        <w:t xml:space="preserve"> denně (maximální terapeutická dávka),</w:t>
      </w:r>
      <w:r>
        <w:t xml:space="preserve"> při krátkodobém použití a u pacientů bez předchozího poškození jaterních funkcí. </w:t>
      </w:r>
    </w:p>
    <w:p w:rsidR="001D6A5D" w:rsidRDefault="001D6A5D" w:rsidP="001D6A5D">
      <w:pPr>
        <w:spacing w:line="360" w:lineRule="auto"/>
        <w:jc w:val="both"/>
      </w:pPr>
    </w:p>
    <w:p w:rsidR="001D6A5D" w:rsidRDefault="001D6A5D" w:rsidP="001D6A5D">
      <w:pPr>
        <w:spacing w:line="360" w:lineRule="auto"/>
        <w:jc w:val="both"/>
      </w:pPr>
      <w:r>
        <w:rPr>
          <w:b/>
        </w:rPr>
        <w:t>Mezi absolutní kontraindikace</w:t>
      </w:r>
      <w:r>
        <w:t xml:space="preserve"> patří přecitlivělost na paracetamol, akutní hepatitis, poruchy jaterních a ledvinných funkcí. Paracetamol zvyšuje hladinu kyseliny acetylsalicylové a chloramfenikolu v plazmě. </w:t>
      </w:r>
      <w:r>
        <w:rPr>
          <w:b/>
        </w:rPr>
        <w:t>Současné dlouhodobé podávání paracetamolu a NSA</w:t>
      </w:r>
      <w:r>
        <w:t xml:space="preserve"> (především acetylsalicylové kyseliny) </w:t>
      </w:r>
      <w:r>
        <w:rPr>
          <w:b/>
        </w:rPr>
        <w:t xml:space="preserve">ve vyšších dávkách zvyšuje riziko analgetické nefropatie </w:t>
      </w:r>
      <w:r>
        <w:t>a dalších renálních nežádoucích účinků.</w:t>
      </w:r>
    </w:p>
    <w:p w:rsidR="001D6A5D" w:rsidRDefault="001D6A5D" w:rsidP="001D6A5D">
      <w:pPr>
        <w:spacing w:line="360" w:lineRule="auto"/>
        <w:jc w:val="both"/>
      </w:pPr>
    </w:p>
    <w:p w:rsidR="001D6A5D" w:rsidRDefault="001D6A5D" w:rsidP="001D6A5D">
      <w:pPr>
        <w:spacing w:line="360" w:lineRule="auto"/>
        <w:jc w:val="both"/>
      </w:pPr>
      <w:r>
        <w:rPr>
          <w:b/>
        </w:rPr>
        <w:t>Předávkování</w:t>
      </w:r>
      <w:r>
        <w:t xml:space="preserve"> již relativně nízkými dávkami paracetamolu (8–15 g v závislosti na tělesné hmotnosti pacienta) může mít za následek závažné poškození jater a někdy akutní renální tubulární nekrózu. Do 24 hodin se může objevit nauzea, zvracení, anorexie, bledost, letargie a </w:t>
      </w:r>
      <w:r>
        <w:lastRenderedPageBreak/>
        <w:t>pocení. Bolest v břiše může být prvním příznakem jaterního poškození a vzniká během prvních 24 hodin. Může vzniknout jaterní cytolýza, která může vést k jaternímu selhání, encefalopatii, kómatu až smrti. Léčba N-</w:t>
      </w:r>
      <w:proofErr w:type="spellStart"/>
      <w:r>
        <w:t>acetylcysteinem</w:t>
      </w:r>
      <w:proofErr w:type="spellEnd"/>
      <w:r>
        <w:t xml:space="preserve"> může být použita do 24 hodin po požití paracetamolu, ale maximálního ochranného účinku je dosaženo, pokud byl podán do 8 hodin po požití. </w:t>
      </w:r>
    </w:p>
    <w:p w:rsidR="001D6A5D" w:rsidRDefault="001D6A5D" w:rsidP="001D6A5D">
      <w:pPr>
        <w:spacing w:line="360" w:lineRule="auto"/>
        <w:jc w:val="both"/>
      </w:pPr>
      <w:r>
        <w:rPr>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182880</wp:posOffset>
            </wp:positionV>
            <wp:extent cx="2167255" cy="2400300"/>
            <wp:effectExtent l="0" t="0" r="4445" b="0"/>
            <wp:wrapTight wrapText="bothSides">
              <wp:wrapPolygon edited="0">
                <wp:start x="0" y="0"/>
                <wp:lineTo x="0" y="21429"/>
                <wp:lineTo x="21454" y="21429"/>
                <wp:lineTo x="21454"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7255" cy="2400300"/>
                    </a:xfrm>
                    <a:prstGeom prst="rect">
                      <a:avLst/>
                    </a:prstGeom>
                    <a:noFill/>
                  </pic:spPr>
                </pic:pic>
              </a:graphicData>
            </a:graphic>
            <wp14:sizeRelH relativeFrom="page">
              <wp14:pctWidth>0</wp14:pctWidth>
            </wp14:sizeRelH>
            <wp14:sizeRelV relativeFrom="page">
              <wp14:pctHeight>0</wp14:pctHeight>
            </wp14:sizeRelV>
          </wp:anchor>
        </w:drawing>
      </w:r>
    </w:p>
    <w:p w:rsidR="001D6A5D" w:rsidRDefault="001D6A5D" w:rsidP="001D6A5D">
      <w:pPr>
        <w:spacing w:line="360" w:lineRule="auto"/>
      </w:pPr>
      <w:proofErr w:type="spellStart"/>
      <w:r>
        <w:rPr>
          <w:highlight w:val="green"/>
        </w:rPr>
        <w:t>Ibalgin</w:t>
      </w:r>
      <w:proofErr w:type="spellEnd"/>
      <w:r>
        <w:t xml:space="preserve"> </w:t>
      </w:r>
      <w:proofErr w:type="spellStart"/>
      <w:r>
        <w:t>tbl</w:t>
      </w:r>
      <w:proofErr w:type="spellEnd"/>
      <w:r>
        <w:t>. 400 mg (</w:t>
      </w:r>
      <w:proofErr w:type="spellStart"/>
      <w:r>
        <w:t>ibuprofenum</w:t>
      </w:r>
      <w:proofErr w:type="spellEnd"/>
      <w:r>
        <w:t>)</w:t>
      </w:r>
    </w:p>
    <w:p w:rsidR="001D6A5D" w:rsidRDefault="001D6A5D" w:rsidP="001D6A5D">
      <w:pPr>
        <w:spacing w:line="360" w:lineRule="auto"/>
        <w:jc w:val="both"/>
      </w:pPr>
      <w:r>
        <w:t xml:space="preserve">Ibuprofen, která patří do skupiny nesteroidních protizánětlivých léčiv (NSAID). Zabraňuje tvorbě tkáňových </w:t>
      </w:r>
      <w:proofErr w:type="spellStart"/>
      <w:r>
        <w:t>působků</w:t>
      </w:r>
      <w:proofErr w:type="spellEnd"/>
      <w:r>
        <w:t>, tzv. prostaglandinů, které jsou odpovědné za vznik bolesti a zánětu a uvolňují se v místě poškození tkáně. Ibuprofen zmírňuje bolest a zánět různého původu. Ibuprofen rovněž tlumí horečku, která provází např. nemoci z nachlazení (při horečnatých stavech při chřipkových onemocněních a jako doplňková léčba horečnatých stavů při jiných onemocněních). Přípravek je vzhledem k množství léčivé látky v jedné tabletě určen pro dospělé a dospívající nad 12 let. Pro děti ve věku 6–12 let je vhodný přípravek s obsahem 200 mg ibuprofenu (</w:t>
      </w:r>
      <w:proofErr w:type="spellStart"/>
      <w:r>
        <w:t>Ibalgin</w:t>
      </w:r>
      <w:proofErr w:type="spellEnd"/>
      <w:r>
        <w:t xml:space="preserve"> 200), dětem do 6 let věku je určen ibuprofen v suspenzi (</w:t>
      </w:r>
      <w:proofErr w:type="spellStart"/>
      <w:r>
        <w:t>Ibalgin</w:t>
      </w:r>
      <w:proofErr w:type="spellEnd"/>
      <w:r>
        <w:t xml:space="preserve"> baby).</w:t>
      </w:r>
    </w:p>
    <w:p w:rsidR="001D6A5D" w:rsidRDefault="001D6A5D" w:rsidP="001D6A5D">
      <w:pPr>
        <w:pStyle w:val="Default"/>
      </w:pPr>
    </w:p>
    <w:p w:rsidR="001D6A5D" w:rsidRDefault="001D6A5D" w:rsidP="001D6A5D">
      <w:pPr>
        <w:spacing w:line="360" w:lineRule="auto"/>
        <w:rPr>
          <w:b/>
          <w:bCs/>
          <w:color w:val="000000"/>
          <w:sz w:val="22"/>
          <w:szCs w:val="22"/>
        </w:rPr>
      </w:pPr>
      <w:r>
        <w:rPr>
          <w:b/>
        </w:rPr>
        <w:t xml:space="preserve"> Hlavní kontraindikace ibuprofenu jsou: </w:t>
      </w:r>
    </w:p>
    <w:p w:rsidR="001D6A5D" w:rsidRDefault="001D6A5D" w:rsidP="001D6A5D">
      <w:pPr>
        <w:numPr>
          <w:ilvl w:val="0"/>
          <w:numId w:val="13"/>
        </w:numPr>
        <w:spacing w:line="360" w:lineRule="auto"/>
        <w:rPr>
          <w:bCs/>
          <w:color w:val="000000"/>
        </w:rPr>
      </w:pPr>
      <w:r>
        <w:rPr>
          <w:bCs/>
          <w:color w:val="000000"/>
        </w:rPr>
        <w:t xml:space="preserve">alergie na ibuprofen </w:t>
      </w:r>
    </w:p>
    <w:p w:rsidR="001D6A5D" w:rsidRDefault="001D6A5D" w:rsidP="001D6A5D">
      <w:pPr>
        <w:numPr>
          <w:ilvl w:val="0"/>
          <w:numId w:val="13"/>
        </w:numPr>
        <w:spacing w:line="360" w:lineRule="auto"/>
        <w:rPr>
          <w:bCs/>
          <w:color w:val="000000"/>
        </w:rPr>
      </w:pPr>
      <w:r>
        <w:rPr>
          <w:bCs/>
          <w:color w:val="000000"/>
        </w:rPr>
        <w:t>alergie na kyselinu acetylsalicylovou nebo některé jiné nesteroidní protizánětlivé léky</w:t>
      </w:r>
    </w:p>
    <w:p w:rsidR="001D6A5D" w:rsidRDefault="001D6A5D" w:rsidP="001D6A5D">
      <w:pPr>
        <w:numPr>
          <w:ilvl w:val="0"/>
          <w:numId w:val="13"/>
        </w:numPr>
        <w:spacing w:line="360" w:lineRule="auto"/>
        <w:rPr>
          <w:bCs/>
          <w:color w:val="000000"/>
        </w:rPr>
      </w:pPr>
      <w:r>
        <w:rPr>
          <w:bCs/>
          <w:color w:val="000000"/>
        </w:rPr>
        <w:t>aktivní nebo opakující se vřed nebo krvácení do žaludku nebo dvanáctníku</w:t>
      </w:r>
    </w:p>
    <w:p w:rsidR="001D6A5D" w:rsidRDefault="001D6A5D" w:rsidP="001D6A5D">
      <w:pPr>
        <w:numPr>
          <w:ilvl w:val="0"/>
          <w:numId w:val="13"/>
        </w:numPr>
        <w:spacing w:line="360" w:lineRule="auto"/>
        <w:rPr>
          <w:b/>
          <w:bCs/>
          <w:color w:val="000000"/>
        </w:rPr>
      </w:pPr>
      <w:r>
        <w:rPr>
          <w:bCs/>
          <w:color w:val="000000"/>
        </w:rPr>
        <w:t>při krvácení nebo proděravení v zažívacím traktu způsobených nesteroidními protizánětlivými léky v minulosti</w:t>
      </w:r>
    </w:p>
    <w:p w:rsidR="001D6A5D" w:rsidRDefault="001D6A5D" w:rsidP="001D6A5D">
      <w:pPr>
        <w:numPr>
          <w:ilvl w:val="0"/>
          <w:numId w:val="13"/>
        </w:numPr>
        <w:spacing w:line="360" w:lineRule="auto"/>
        <w:rPr>
          <w:bCs/>
          <w:color w:val="000000"/>
        </w:rPr>
      </w:pPr>
      <w:r>
        <w:rPr>
          <w:bCs/>
          <w:color w:val="000000"/>
        </w:rPr>
        <w:t>poruchy krvetvorby nebo porucha krevní srážlivosti,</w:t>
      </w:r>
    </w:p>
    <w:p w:rsidR="001D6A5D" w:rsidRDefault="001D6A5D" w:rsidP="001D6A5D">
      <w:pPr>
        <w:numPr>
          <w:ilvl w:val="0"/>
          <w:numId w:val="13"/>
        </w:numPr>
        <w:spacing w:line="360" w:lineRule="auto"/>
        <w:rPr>
          <w:bCs/>
          <w:color w:val="000000"/>
        </w:rPr>
      </w:pPr>
      <w:r>
        <w:rPr>
          <w:bCs/>
          <w:color w:val="000000"/>
        </w:rPr>
        <w:t>závažné srdeční selhání.</w:t>
      </w:r>
    </w:p>
    <w:p w:rsidR="001D6A5D" w:rsidRDefault="001D6A5D">
      <w:pPr>
        <w:spacing w:after="160" w:line="259" w:lineRule="auto"/>
        <w:rPr>
          <w:color w:val="000000"/>
          <w:highlight w:val="green"/>
        </w:rPr>
      </w:pPr>
      <w:r>
        <w:rPr>
          <w:highlight w:val="green"/>
        </w:rPr>
        <w:br w:type="page"/>
      </w:r>
    </w:p>
    <w:p w:rsidR="001D6A5D" w:rsidRDefault="001D6A5D" w:rsidP="001D6A5D">
      <w:pPr>
        <w:pStyle w:val="Default"/>
        <w:spacing w:line="360" w:lineRule="auto"/>
        <w:rPr>
          <w:sz w:val="23"/>
          <w:szCs w:val="23"/>
        </w:rPr>
      </w:pPr>
      <w:r>
        <w:rPr>
          <w:highlight w:val="green"/>
        </w:rPr>
        <w:lastRenderedPageBreak/>
        <w:t>Midazolam</w:t>
      </w:r>
      <w:r>
        <w:t xml:space="preserve"> (1</w:t>
      </w:r>
      <w:r>
        <w:rPr>
          <w:sz w:val="23"/>
          <w:szCs w:val="23"/>
        </w:rPr>
        <w:t xml:space="preserve"> ml injekčního nebo infuzního roztoku obsahuje 5 mg </w:t>
      </w:r>
      <w:proofErr w:type="spellStart"/>
      <w:r>
        <w:rPr>
          <w:sz w:val="23"/>
          <w:szCs w:val="23"/>
        </w:rPr>
        <w:t>midazolami</w:t>
      </w:r>
      <w:proofErr w:type="spellEnd"/>
      <w:r>
        <w:rPr>
          <w:sz w:val="23"/>
          <w:szCs w:val="23"/>
        </w:rPr>
        <w:t xml:space="preserve"> </w:t>
      </w:r>
      <w:proofErr w:type="spellStart"/>
      <w:r>
        <w:rPr>
          <w:sz w:val="23"/>
          <w:szCs w:val="23"/>
        </w:rPr>
        <w:t>hydrochloridum</w:t>
      </w:r>
      <w:proofErr w:type="spellEnd"/>
      <w:r>
        <w:rPr>
          <w:sz w:val="23"/>
          <w:szCs w:val="23"/>
        </w:rPr>
        <w:t>)</w:t>
      </w:r>
    </w:p>
    <w:p w:rsidR="001D6A5D" w:rsidRDefault="001D6A5D" w:rsidP="001D6A5D">
      <w:pPr>
        <w:pStyle w:val="Default"/>
        <w:numPr>
          <w:ilvl w:val="0"/>
          <w:numId w:val="13"/>
        </w:numPr>
        <w:spacing w:line="360" w:lineRule="auto"/>
      </w:pPr>
      <w:r>
        <w:t>Midazolam se používá k </w:t>
      </w:r>
      <w:proofErr w:type="spellStart"/>
      <w:r>
        <w:t>sedaci</w:t>
      </w:r>
      <w:proofErr w:type="spellEnd"/>
      <w:r>
        <w:t xml:space="preserve"> neklidných pacientů, jako premedikace před úvodem do anestézie nebo k navození anestézie. </w:t>
      </w:r>
    </w:p>
    <w:p w:rsidR="001D6A5D" w:rsidRDefault="001D6A5D" w:rsidP="001D6A5D">
      <w:pPr>
        <w:pStyle w:val="Default"/>
        <w:numPr>
          <w:ilvl w:val="0"/>
          <w:numId w:val="13"/>
        </w:numPr>
        <w:spacing w:line="360" w:lineRule="auto"/>
        <w:rPr>
          <w:sz w:val="23"/>
          <w:szCs w:val="23"/>
        </w:rPr>
      </w:pPr>
      <w:r>
        <w:rPr>
          <w:sz w:val="23"/>
          <w:szCs w:val="23"/>
        </w:rPr>
        <w:t xml:space="preserve">Midazolam je </w:t>
      </w:r>
      <w:proofErr w:type="spellStart"/>
      <w:r>
        <w:rPr>
          <w:sz w:val="23"/>
          <w:szCs w:val="23"/>
        </w:rPr>
        <w:t>hyponotikum</w:t>
      </w:r>
      <w:proofErr w:type="spellEnd"/>
      <w:r>
        <w:rPr>
          <w:sz w:val="23"/>
          <w:szCs w:val="23"/>
        </w:rPr>
        <w:t xml:space="preserve"> a sedativum, vyskytuje se v třech možných formách objemu:</w:t>
      </w:r>
    </w:p>
    <w:p w:rsidR="001D6A5D" w:rsidRDefault="001D6A5D" w:rsidP="001D6A5D">
      <w:pPr>
        <w:pStyle w:val="Default"/>
        <w:numPr>
          <w:ilvl w:val="0"/>
          <w:numId w:val="13"/>
        </w:numPr>
        <w:spacing w:line="360" w:lineRule="auto"/>
        <w:rPr>
          <w:sz w:val="23"/>
          <w:szCs w:val="23"/>
        </w:rPr>
      </w:pPr>
      <w:r>
        <w:rPr>
          <w:noProof/>
          <w:sz w:val="23"/>
          <w:szCs w:val="23"/>
        </w:rPr>
        <w:drawing>
          <wp:inline distT="0" distB="0" distL="0" distR="0">
            <wp:extent cx="4718050" cy="533400"/>
            <wp:effectExtent l="0" t="0" r="635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18050" cy="533400"/>
                    </a:xfrm>
                    <a:prstGeom prst="rect">
                      <a:avLst/>
                    </a:prstGeom>
                    <a:noFill/>
                    <a:ln>
                      <a:noFill/>
                    </a:ln>
                  </pic:spPr>
                </pic:pic>
              </a:graphicData>
            </a:graphic>
          </wp:inline>
        </w:drawing>
      </w:r>
    </w:p>
    <w:p w:rsidR="001D6A5D" w:rsidRDefault="001D6A5D" w:rsidP="001D6A5D">
      <w:pPr>
        <w:pStyle w:val="Default"/>
        <w:numPr>
          <w:ilvl w:val="0"/>
          <w:numId w:val="13"/>
        </w:numPr>
        <w:spacing w:line="360" w:lineRule="auto"/>
        <w:rPr>
          <w:sz w:val="23"/>
          <w:szCs w:val="23"/>
        </w:rPr>
      </w:pPr>
      <w:r>
        <w:rPr>
          <w:sz w:val="23"/>
          <w:szCs w:val="23"/>
        </w:rPr>
        <w:t xml:space="preserve">Midazolam je doporučeno ředit do objemu výsledné dávky s fyziologickým roztokem </w:t>
      </w:r>
      <w:proofErr w:type="gramStart"/>
      <w:r>
        <w:rPr>
          <w:sz w:val="23"/>
          <w:szCs w:val="23"/>
        </w:rPr>
        <w:t>( 1</w:t>
      </w:r>
      <w:proofErr w:type="gramEnd"/>
      <w:r>
        <w:rPr>
          <w:sz w:val="23"/>
          <w:szCs w:val="23"/>
        </w:rPr>
        <w:t xml:space="preserve"> ml ampule se ředí do 5 ml, 3 ml ampule do 15 ml apod.). </w:t>
      </w:r>
    </w:p>
    <w:p w:rsidR="001D6A5D" w:rsidRDefault="001D6A5D" w:rsidP="001D6A5D">
      <w:pPr>
        <w:pStyle w:val="Default"/>
        <w:numPr>
          <w:ilvl w:val="0"/>
          <w:numId w:val="13"/>
        </w:numPr>
        <w:spacing w:line="360" w:lineRule="auto"/>
        <w:rPr>
          <w:sz w:val="23"/>
          <w:szCs w:val="23"/>
        </w:rPr>
      </w:pPr>
    </w:p>
    <w:p w:rsidR="001D6A5D" w:rsidRDefault="001D6A5D" w:rsidP="001D6A5D">
      <w:pPr>
        <w:pStyle w:val="Default"/>
        <w:numPr>
          <w:ilvl w:val="0"/>
          <w:numId w:val="13"/>
        </w:numPr>
        <w:spacing w:line="360" w:lineRule="auto"/>
        <w:rPr>
          <w:sz w:val="23"/>
          <w:szCs w:val="23"/>
        </w:rPr>
      </w:pPr>
      <w:r>
        <w:rPr>
          <w:b/>
        </w:rPr>
        <w:t xml:space="preserve">Kontraindikace: </w:t>
      </w:r>
      <w:r>
        <w:rPr>
          <w:sz w:val="23"/>
          <w:szCs w:val="23"/>
        </w:rPr>
        <w:t xml:space="preserve">hypersenzitivita na midazolam a benzodiazepiny, </w:t>
      </w:r>
      <w:proofErr w:type="spellStart"/>
      <w:r>
        <w:rPr>
          <w:sz w:val="23"/>
          <w:szCs w:val="23"/>
        </w:rPr>
        <w:t>sedace</w:t>
      </w:r>
      <w:proofErr w:type="spellEnd"/>
      <w:r>
        <w:rPr>
          <w:sz w:val="23"/>
          <w:szCs w:val="23"/>
        </w:rPr>
        <w:t xml:space="preserve"> při zachování vědomí u pacientů s těžkou dechovou nedostatečností nebo akutní dechovou depresí.</w:t>
      </w:r>
    </w:p>
    <w:p w:rsidR="001D6A5D" w:rsidRDefault="001D6A5D" w:rsidP="001D6A5D">
      <w:pPr>
        <w:pStyle w:val="Default"/>
        <w:numPr>
          <w:ilvl w:val="0"/>
          <w:numId w:val="13"/>
        </w:numPr>
        <w:spacing w:line="360" w:lineRule="auto"/>
        <w:rPr>
          <w:sz w:val="23"/>
          <w:szCs w:val="23"/>
        </w:rPr>
      </w:pPr>
    </w:p>
    <w:p w:rsidR="001D6A5D" w:rsidRDefault="001D6A5D" w:rsidP="001D6A5D">
      <w:pPr>
        <w:pStyle w:val="Default"/>
        <w:numPr>
          <w:ilvl w:val="0"/>
          <w:numId w:val="13"/>
        </w:numPr>
        <w:spacing w:line="360" w:lineRule="auto"/>
        <w:jc w:val="both"/>
        <w:rPr>
          <w:sz w:val="23"/>
          <w:szCs w:val="23"/>
        </w:rPr>
      </w:pPr>
      <w:r>
        <w:rPr>
          <w:sz w:val="23"/>
          <w:szCs w:val="23"/>
        </w:rPr>
        <w:t xml:space="preserve">Midazolam by měl být podáván pouze zkušenými lékaři v prostředí zcela vybaveném pro monitorování a podporu respiračních a kardiovaskulárních funkcí (zejména u dětí, osob ve věku nad 60 let a u osob s respirační insuficiencí). </w:t>
      </w:r>
    </w:p>
    <w:p w:rsidR="001D6A5D" w:rsidRDefault="001D6A5D" w:rsidP="001D6A5D">
      <w:pPr>
        <w:pStyle w:val="Default"/>
        <w:numPr>
          <w:ilvl w:val="0"/>
          <w:numId w:val="13"/>
        </w:numPr>
        <w:spacing w:line="360" w:lineRule="auto"/>
        <w:jc w:val="both"/>
        <w:rPr>
          <w:sz w:val="23"/>
          <w:szCs w:val="23"/>
        </w:rPr>
      </w:pPr>
    </w:p>
    <w:p w:rsidR="001D6A5D" w:rsidRDefault="001D6A5D" w:rsidP="001D6A5D">
      <w:pPr>
        <w:pStyle w:val="Default"/>
        <w:numPr>
          <w:ilvl w:val="0"/>
          <w:numId w:val="13"/>
        </w:numPr>
        <w:spacing w:line="360" w:lineRule="auto"/>
        <w:jc w:val="both"/>
        <w:rPr>
          <w:sz w:val="23"/>
          <w:szCs w:val="23"/>
        </w:rPr>
      </w:pPr>
      <w:r>
        <w:rPr>
          <w:b/>
          <w:sz w:val="23"/>
          <w:szCs w:val="23"/>
        </w:rPr>
        <w:t xml:space="preserve">Mezi nežádoucí účinky midazolamu se řadí: </w:t>
      </w:r>
      <w:r>
        <w:rPr>
          <w:sz w:val="23"/>
          <w:szCs w:val="23"/>
        </w:rPr>
        <w:t xml:space="preserve">euforie, halucinace, křeče, apnoe, </w:t>
      </w:r>
      <w:proofErr w:type="spellStart"/>
      <w:r>
        <w:rPr>
          <w:sz w:val="23"/>
          <w:szCs w:val="23"/>
        </w:rPr>
        <w:t>kardiodeprese</w:t>
      </w:r>
      <w:proofErr w:type="spellEnd"/>
      <w:r>
        <w:rPr>
          <w:sz w:val="23"/>
          <w:szCs w:val="23"/>
        </w:rPr>
        <w:t xml:space="preserve">. </w:t>
      </w:r>
    </w:p>
    <w:p w:rsidR="001D6A5D" w:rsidRDefault="001D6A5D" w:rsidP="001D6A5D">
      <w:pPr>
        <w:spacing w:line="360" w:lineRule="auto"/>
        <w:ind w:left="360"/>
        <w:rPr>
          <w:highlight w:val="green"/>
        </w:rPr>
      </w:pPr>
      <w:r>
        <w:rPr>
          <w:noProof/>
        </w:rPr>
        <w:drawing>
          <wp:anchor distT="0" distB="0" distL="114300" distR="114300" simplePos="0" relativeHeight="251693056" behindDoc="1" locked="0" layoutInCell="1" allowOverlap="1">
            <wp:simplePos x="0" y="0"/>
            <wp:positionH relativeFrom="column">
              <wp:posOffset>2691130</wp:posOffset>
            </wp:positionH>
            <wp:positionV relativeFrom="paragraph">
              <wp:posOffset>231140</wp:posOffset>
            </wp:positionV>
            <wp:extent cx="3009900" cy="1000125"/>
            <wp:effectExtent l="0" t="0" r="0" b="9525"/>
            <wp:wrapTight wrapText="bothSides">
              <wp:wrapPolygon edited="0">
                <wp:start x="0" y="0"/>
                <wp:lineTo x="0" y="21394"/>
                <wp:lineTo x="21463" y="21394"/>
                <wp:lineTo x="21463" y="0"/>
                <wp:lineTo x="0" y="0"/>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9900" cy="1000125"/>
                    </a:xfrm>
                    <a:prstGeom prst="rect">
                      <a:avLst/>
                    </a:prstGeom>
                    <a:noFill/>
                  </pic:spPr>
                </pic:pic>
              </a:graphicData>
            </a:graphic>
            <wp14:sizeRelH relativeFrom="page">
              <wp14:pctWidth>0</wp14:pctWidth>
            </wp14:sizeRelH>
            <wp14:sizeRelV relativeFrom="page">
              <wp14:pctHeight>0</wp14:pctHeight>
            </wp14:sizeRelV>
          </wp:anchor>
        </w:drawing>
      </w:r>
    </w:p>
    <w:p w:rsidR="001D6A5D" w:rsidRDefault="001D6A5D">
      <w:pPr>
        <w:spacing w:after="160" w:line="259" w:lineRule="auto"/>
        <w:rPr>
          <w:highlight w:val="green"/>
        </w:rPr>
      </w:pPr>
      <w:r>
        <w:rPr>
          <w:highlight w:val="green"/>
        </w:rPr>
        <w:br w:type="page"/>
      </w:r>
    </w:p>
    <w:p w:rsidR="001D6A5D" w:rsidRDefault="001D6A5D" w:rsidP="001D6A5D">
      <w:pPr>
        <w:spacing w:line="360" w:lineRule="auto"/>
        <w:ind w:left="360"/>
      </w:pPr>
      <w:proofErr w:type="spellStart"/>
      <w:r w:rsidRPr="001D6A5D">
        <w:rPr>
          <w:highlight w:val="green"/>
        </w:rPr>
        <w:lastRenderedPageBreak/>
        <w:t>Anexate</w:t>
      </w:r>
      <w:proofErr w:type="spellEnd"/>
      <w:r>
        <w:t xml:space="preserve"> 0,5 mg (</w:t>
      </w:r>
      <w:proofErr w:type="spellStart"/>
      <w:r>
        <w:t>flumazenilum</w:t>
      </w:r>
      <w:proofErr w:type="spellEnd"/>
      <w:r>
        <w:t xml:space="preserve"> 0,1 mg) </w:t>
      </w:r>
    </w:p>
    <w:p w:rsidR="001D6A5D" w:rsidRDefault="001D6A5D" w:rsidP="001D6A5D">
      <w:pPr>
        <w:pStyle w:val="Odstavecseseznamem"/>
        <w:numPr>
          <w:ilvl w:val="0"/>
          <w:numId w:val="13"/>
        </w:numPr>
        <w:spacing w:line="360" w:lineRule="auto"/>
        <w:jc w:val="both"/>
      </w:pPr>
      <w:proofErr w:type="spellStart"/>
      <w:r>
        <w:t>Antidotum</w:t>
      </w:r>
      <w:proofErr w:type="spellEnd"/>
      <w:r>
        <w:t xml:space="preserve"> </w:t>
      </w:r>
      <w:proofErr w:type="spellStart"/>
      <w:r>
        <w:t>Flumazenil</w:t>
      </w:r>
      <w:proofErr w:type="spellEnd"/>
      <w:r>
        <w:t xml:space="preserve"> </w:t>
      </w:r>
      <w:proofErr w:type="gramStart"/>
      <w:r>
        <w:t>je  antagonistou</w:t>
      </w:r>
      <w:proofErr w:type="gramEnd"/>
      <w:r>
        <w:t xml:space="preserve"> benzodiazepinových receptorů, který se vyznačuje omezením jejich účinků na centrální nervovou soustavu. </w:t>
      </w:r>
      <w:proofErr w:type="spellStart"/>
      <w:r>
        <w:t>Hypnosedativní</w:t>
      </w:r>
      <w:proofErr w:type="spellEnd"/>
      <w:r>
        <w:t xml:space="preserve"> účinek benzodiazepinů je po intravenózní aplikaci </w:t>
      </w:r>
      <w:proofErr w:type="spellStart"/>
      <w:r>
        <w:t>Anexate</w:t>
      </w:r>
      <w:proofErr w:type="spellEnd"/>
      <w:r>
        <w:t xml:space="preserve"> rychle odstraněn (</w:t>
      </w:r>
      <w:proofErr w:type="gramStart"/>
      <w:r>
        <w:t>1 - 2</w:t>
      </w:r>
      <w:proofErr w:type="gramEnd"/>
      <w:r>
        <w:t xml:space="preserve"> minuty), ale může se opětovně objevovat během několika následujících hodin. </w:t>
      </w:r>
    </w:p>
    <w:p w:rsidR="001D6A5D" w:rsidRDefault="001D6A5D" w:rsidP="001D6A5D">
      <w:pPr>
        <w:pStyle w:val="Odstavecseseznamem"/>
        <w:numPr>
          <w:ilvl w:val="0"/>
          <w:numId w:val="13"/>
        </w:numPr>
        <w:spacing w:line="360" w:lineRule="auto"/>
        <w:jc w:val="both"/>
      </w:pPr>
      <w:r w:rsidRPr="001D6A5D">
        <w:rPr>
          <w:b/>
        </w:rPr>
        <w:t xml:space="preserve">Přípravek </w:t>
      </w:r>
      <w:proofErr w:type="spellStart"/>
      <w:r w:rsidRPr="001D6A5D">
        <w:rPr>
          <w:b/>
        </w:rPr>
        <w:t>Anexate</w:t>
      </w:r>
      <w:proofErr w:type="spellEnd"/>
      <w:r w:rsidRPr="001D6A5D">
        <w:rPr>
          <w:b/>
        </w:rPr>
        <w:t xml:space="preserve"> je indikován</w:t>
      </w:r>
      <w:r>
        <w:t xml:space="preserve"> k úplnému nebo částečnému zrušení centrálně sedativních účinků benzodiazepinů. </w:t>
      </w:r>
      <w:proofErr w:type="spellStart"/>
      <w:r>
        <w:t>Anexate</w:t>
      </w:r>
      <w:proofErr w:type="spellEnd"/>
      <w:r>
        <w:t xml:space="preserve"> lze podávat buď neředěný, nebo jej lze naředit. </w:t>
      </w:r>
    </w:p>
    <w:p w:rsidR="001D6A5D" w:rsidRDefault="001D6A5D" w:rsidP="001D6A5D">
      <w:pPr>
        <w:pStyle w:val="Odstavecseseznamem"/>
        <w:numPr>
          <w:ilvl w:val="0"/>
          <w:numId w:val="13"/>
        </w:numPr>
        <w:spacing w:line="360" w:lineRule="auto"/>
        <w:jc w:val="both"/>
      </w:pPr>
      <w:r w:rsidRPr="001D6A5D">
        <w:rPr>
          <w:b/>
        </w:rPr>
        <w:t xml:space="preserve">Přípravek </w:t>
      </w:r>
      <w:proofErr w:type="spellStart"/>
      <w:r w:rsidRPr="001D6A5D">
        <w:rPr>
          <w:b/>
        </w:rPr>
        <w:t>Anexate</w:t>
      </w:r>
      <w:proofErr w:type="spellEnd"/>
      <w:r w:rsidRPr="001D6A5D">
        <w:rPr>
          <w:b/>
        </w:rPr>
        <w:t xml:space="preserve"> je kontraindikován</w:t>
      </w:r>
      <w:r>
        <w:t xml:space="preserve"> u pacientů se známou hypersenzitivitou na léčivou látku a dále je kontraindikován u pacientů, kterým byly benzodiazepiny podávány za účelem léčby potencionálně život ohrožujícího stavu (např. zvýšený nitrolební tlak nebo status </w:t>
      </w:r>
      <w:proofErr w:type="spellStart"/>
      <w:r>
        <w:t>epilepticus</w:t>
      </w:r>
      <w:proofErr w:type="spellEnd"/>
      <w:r>
        <w:t xml:space="preserve">). </w:t>
      </w:r>
    </w:p>
    <w:p w:rsidR="001D6A5D" w:rsidRDefault="001D6A5D" w:rsidP="001D6A5D">
      <w:pPr>
        <w:pStyle w:val="Odstavecseseznamem"/>
        <w:numPr>
          <w:ilvl w:val="0"/>
          <w:numId w:val="13"/>
        </w:numPr>
        <w:spacing w:line="360" w:lineRule="auto"/>
        <w:jc w:val="both"/>
      </w:pPr>
      <w:r>
        <w:t xml:space="preserve">Z nežádoucích účinků se mohou objevit nauzea, zvracení a palpitace při rychlé intravenózní aplikaci. </w:t>
      </w:r>
    </w:p>
    <w:p w:rsidR="001D6A5D" w:rsidRDefault="001D6A5D">
      <w:pPr>
        <w:spacing w:after="160" w:line="259" w:lineRule="auto"/>
        <w:rPr>
          <w:color w:val="000000"/>
          <w:highlight w:val="green"/>
        </w:rPr>
      </w:pPr>
      <w:r>
        <w:rPr>
          <w:highlight w:val="green"/>
        </w:rPr>
        <w:br w:type="page"/>
      </w:r>
    </w:p>
    <w:p w:rsidR="001D6A5D" w:rsidRDefault="001D6A5D" w:rsidP="001D6A5D">
      <w:pPr>
        <w:pStyle w:val="Default"/>
        <w:spacing w:line="360" w:lineRule="auto"/>
        <w:ind w:left="360"/>
      </w:pPr>
      <w:proofErr w:type="spellStart"/>
      <w:r>
        <w:rPr>
          <w:highlight w:val="green"/>
        </w:rPr>
        <w:lastRenderedPageBreak/>
        <w:t>Naloxon</w:t>
      </w:r>
      <w:proofErr w:type="spellEnd"/>
      <w:r>
        <w:rPr>
          <w:highlight w:val="green"/>
        </w:rPr>
        <w:t xml:space="preserve"> 0,4 mg</w:t>
      </w:r>
      <w:r>
        <w:t xml:space="preserve"> (1 ml injekčního roztoku obsahuje 400 </w:t>
      </w:r>
      <w:proofErr w:type="spellStart"/>
      <w:r>
        <w:t>μg</w:t>
      </w:r>
      <w:proofErr w:type="spellEnd"/>
      <w:r>
        <w:t xml:space="preserve"> </w:t>
      </w:r>
      <w:proofErr w:type="spellStart"/>
      <w:r>
        <w:t>naloxoni</w:t>
      </w:r>
      <w:proofErr w:type="spellEnd"/>
      <w:r>
        <w:t xml:space="preserve"> </w:t>
      </w:r>
      <w:proofErr w:type="spellStart"/>
      <w:r>
        <w:t>hydrochloridum</w:t>
      </w:r>
      <w:proofErr w:type="spellEnd"/>
      <w:r>
        <w:t>)</w:t>
      </w:r>
    </w:p>
    <w:p w:rsidR="001D6A5D" w:rsidRDefault="001D6A5D" w:rsidP="001D6A5D">
      <w:pPr>
        <w:pStyle w:val="Default"/>
        <w:numPr>
          <w:ilvl w:val="0"/>
          <w:numId w:val="13"/>
        </w:numPr>
        <w:spacing w:line="360" w:lineRule="auto"/>
      </w:pPr>
      <w:r>
        <w:rPr>
          <w:noProof/>
        </w:rPr>
        <w:drawing>
          <wp:anchor distT="0" distB="0" distL="114300" distR="114300" simplePos="0" relativeHeight="251695104" behindDoc="1" locked="0" layoutInCell="1" allowOverlap="1">
            <wp:simplePos x="0" y="0"/>
            <wp:positionH relativeFrom="column">
              <wp:posOffset>-4445</wp:posOffset>
            </wp:positionH>
            <wp:positionV relativeFrom="paragraph">
              <wp:posOffset>1905</wp:posOffset>
            </wp:positionV>
            <wp:extent cx="757555" cy="2400300"/>
            <wp:effectExtent l="0" t="0" r="4445" b="0"/>
            <wp:wrapTight wrapText="bothSides">
              <wp:wrapPolygon edited="0">
                <wp:start x="0" y="0"/>
                <wp:lineTo x="0" y="21429"/>
                <wp:lineTo x="21184" y="21429"/>
                <wp:lineTo x="21184" y="0"/>
                <wp:lineTo x="0" y="0"/>
              </wp:wrapPolygon>
            </wp:wrapTight>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57555"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Naloxon</w:t>
      </w:r>
      <w:proofErr w:type="spellEnd"/>
      <w:r>
        <w:t xml:space="preserve"> je antagonista </w:t>
      </w:r>
      <w:proofErr w:type="spellStart"/>
      <w:r>
        <w:t>opioidních</w:t>
      </w:r>
      <w:proofErr w:type="spellEnd"/>
      <w:r>
        <w:t xml:space="preserve"> receptorů (</w:t>
      </w:r>
      <w:proofErr w:type="spellStart"/>
      <w:r>
        <w:t>antidotum</w:t>
      </w:r>
      <w:proofErr w:type="spellEnd"/>
      <w:r>
        <w:t xml:space="preserve"> pro opiáty). </w:t>
      </w:r>
    </w:p>
    <w:p w:rsidR="001D6A5D" w:rsidRDefault="001D6A5D" w:rsidP="001D6A5D">
      <w:pPr>
        <w:pStyle w:val="Default"/>
        <w:numPr>
          <w:ilvl w:val="0"/>
          <w:numId w:val="13"/>
        </w:numPr>
        <w:spacing w:line="360" w:lineRule="auto"/>
      </w:pPr>
      <w:r>
        <w:rPr>
          <w:b/>
        </w:rPr>
        <w:t xml:space="preserve">Mezi terapeutické indikace patří: </w:t>
      </w:r>
      <w:r>
        <w:t xml:space="preserve">intoxikace </w:t>
      </w:r>
      <w:proofErr w:type="spellStart"/>
      <w:r>
        <w:t>opioidy</w:t>
      </w:r>
      <w:proofErr w:type="spellEnd"/>
      <w:r>
        <w:t xml:space="preserve"> a diferenciální diagnostika při podezření na otravu </w:t>
      </w:r>
      <w:proofErr w:type="spellStart"/>
      <w:r>
        <w:t>opioidy</w:t>
      </w:r>
      <w:proofErr w:type="spellEnd"/>
      <w:r>
        <w:t>.</w:t>
      </w:r>
    </w:p>
    <w:p w:rsidR="001D6A5D" w:rsidRDefault="001D6A5D" w:rsidP="001D6A5D">
      <w:pPr>
        <w:pStyle w:val="Default"/>
        <w:numPr>
          <w:ilvl w:val="0"/>
          <w:numId w:val="13"/>
        </w:numPr>
        <w:spacing w:line="360" w:lineRule="auto"/>
      </w:pPr>
      <w:r>
        <w:rPr>
          <w:b/>
        </w:rPr>
        <w:t xml:space="preserve">Kontraindikace: </w:t>
      </w:r>
      <w:r>
        <w:t>hypersenzitivita na léčivou látku.</w:t>
      </w:r>
    </w:p>
    <w:p w:rsidR="001D6A5D" w:rsidRDefault="001D6A5D" w:rsidP="001D6A5D">
      <w:pPr>
        <w:pStyle w:val="Default"/>
        <w:numPr>
          <w:ilvl w:val="0"/>
          <w:numId w:val="13"/>
        </w:numPr>
        <w:spacing w:line="360" w:lineRule="auto"/>
        <w:jc w:val="both"/>
      </w:pPr>
      <w:r>
        <w:t xml:space="preserve">Osobám závislým na </w:t>
      </w:r>
      <w:proofErr w:type="spellStart"/>
      <w:r>
        <w:t>opioidech</w:t>
      </w:r>
      <w:proofErr w:type="spellEnd"/>
      <w:r>
        <w:t xml:space="preserve"> je nutno </w:t>
      </w:r>
      <w:proofErr w:type="spellStart"/>
      <w:r>
        <w:t>naloxon</w:t>
      </w:r>
      <w:proofErr w:type="spellEnd"/>
      <w:r>
        <w:t xml:space="preserve"> podávat s velkou opatrností vzhledem k riziku vyvolání abstinenčních příznaků (nauzea, zvracení, průjem, slabost, tachykardie, zvýšení arteriálního tlaku, horečka, výtok sekretu z nosu, kýchání, pocení, zívání, nervozitu, úzkost, podrážděnost, třes, křečovité bolesti břicha, bolest v různých částech těla). </w:t>
      </w:r>
      <w:r>
        <w:rPr>
          <w:b/>
        </w:rPr>
        <w:t xml:space="preserve">Doba působení </w:t>
      </w:r>
      <w:proofErr w:type="spellStart"/>
      <w:r>
        <w:rPr>
          <w:b/>
        </w:rPr>
        <w:t>naloxonu</w:t>
      </w:r>
      <w:proofErr w:type="spellEnd"/>
      <w:r>
        <w:rPr>
          <w:b/>
        </w:rPr>
        <w:t xml:space="preserve"> je kratší než doba účinku </w:t>
      </w:r>
      <w:proofErr w:type="spellStart"/>
      <w:r>
        <w:rPr>
          <w:b/>
        </w:rPr>
        <w:t>opioidů</w:t>
      </w:r>
      <w:proofErr w:type="spellEnd"/>
      <w:r>
        <w:rPr>
          <w:b/>
        </w:rPr>
        <w:t xml:space="preserve">, proto existuje riziko návratu dechového útlumu </w:t>
      </w:r>
      <w:r>
        <w:t xml:space="preserve">a nutnosti několikahodinového sledování pacienta. Může být nutné podání dalších dávek přípravku. </w:t>
      </w:r>
      <w:proofErr w:type="spellStart"/>
      <w:r>
        <w:t>Naloxon</w:t>
      </w:r>
      <w:proofErr w:type="spellEnd"/>
      <w:r>
        <w:t xml:space="preserve"> je neúčinný při léčbě dechového útlumu vyvolaného </w:t>
      </w:r>
      <w:proofErr w:type="spellStart"/>
      <w:r>
        <w:t>neopioidními</w:t>
      </w:r>
      <w:proofErr w:type="spellEnd"/>
      <w:r>
        <w:t xml:space="preserve"> přípravky</w:t>
      </w:r>
    </w:p>
    <w:p w:rsidR="001D6A5D" w:rsidRDefault="001D6A5D" w:rsidP="001D6A5D">
      <w:pPr>
        <w:spacing w:line="360" w:lineRule="auto"/>
        <w:jc w:val="both"/>
        <w:rPr>
          <w:highlight w:val="green"/>
        </w:rPr>
      </w:pPr>
    </w:p>
    <w:p w:rsidR="001D6A5D" w:rsidRDefault="001D6A5D" w:rsidP="001D6A5D">
      <w:pPr>
        <w:spacing w:line="360" w:lineRule="auto"/>
        <w:jc w:val="both"/>
        <w:rPr>
          <w:highlight w:val="green"/>
        </w:rPr>
      </w:pPr>
    </w:p>
    <w:p w:rsidR="001D6A5D" w:rsidRDefault="001D6A5D">
      <w:pPr>
        <w:spacing w:after="160" w:line="259" w:lineRule="auto"/>
        <w:rPr>
          <w:highlight w:val="green"/>
        </w:rPr>
      </w:pPr>
      <w:r>
        <w:rPr>
          <w:highlight w:val="green"/>
        </w:rPr>
        <w:br w:type="page"/>
      </w:r>
    </w:p>
    <w:p w:rsidR="001D6A5D" w:rsidRDefault="001D6A5D" w:rsidP="001D6A5D">
      <w:pPr>
        <w:spacing w:line="360" w:lineRule="auto"/>
        <w:jc w:val="both"/>
      </w:pPr>
      <w:r>
        <w:rPr>
          <w:highlight w:val="green"/>
        </w:rPr>
        <w:lastRenderedPageBreak/>
        <w:t>Heparin</w:t>
      </w:r>
      <w:r>
        <w:t xml:space="preserve"> (</w:t>
      </w:r>
      <w:proofErr w:type="spellStart"/>
      <w:r>
        <w:t>heparinum</w:t>
      </w:r>
      <w:proofErr w:type="spellEnd"/>
      <w:r>
        <w:t xml:space="preserve"> </w:t>
      </w:r>
      <w:proofErr w:type="spellStart"/>
      <w:r>
        <w:t>natricum</w:t>
      </w:r>
      <w:proofErr w:type="spellEnd"/>
      <w:r>
        <w:t xml:space="preserve"> </w:t>
      </w:r>
      <w:smartTag w:uri="urn:schemas-microsoft-com:office:smarttags" w:element="metricconverter">
        <w:smartTagPr>
          <w:attr w:name="ProductID" w:val="5 000 m"/>
        </w:smartTagPr>
        <w:r>
          <w:t xml:space="preserve">5 000 </w:t>
        </w:r>
        <w:proofErr w:type="spellStart"/>
        <w:r>
          <w:t>m</w:t>
        </w:r>
      </w:smartTag>
      <w:r>
        <w:t>.j</w:t>
      </w:r>
      <w:proofErr w:type="spellEnd"/>
      <w:r>
        <w:t xml:space="preserve">. v 1 ml injekčního </w:t>
      </w:r>
      <w:proofErr w:type="gramStart"/>
      <w:r>
        <w:t>roztoku)</w:t>
      </w:r>
      <w:proofErr w:type="spellStart"/>
      <w:r>
        <w:t>Antikoagulans</w:t>
      </w:r>
      <w:proofErr w:type="spellEnd"/>
      <w:proofErr w:type="gramEnd"/>
      <w:r>
        <w:t xml:space="preserve"> k profylaxi a terapii všech forem trombóz, </w:t>
      </w:r>
      <w:proofErr w:type="spellStart"/>
      <w:r>
        <w:t>tromboembolií</w:t>
      </w:r>
      <w:proofErr w:type="spellEnd"/>
      <w:r>
        <w:t xml:space="preserve"> jakékoliv lokalizace v žilním a tepenném systému, především hluboké žilní trombózy a embolizace plic. Heparin je určen také k zahájení antikoagulační léčby před aplikací perorálních antikoagulancií, u některých forem </w:t>
      </w:r>
      <w:proofErr w:type="spellStart"/>
      <w:r>
        <w:t>disseminované</w:t>
      </w:r>
      <w:proofErr w:type="spellEnd"/>
      <w:r>
        <w:t xml:space="preserve"> intravaskulární </w:t>
      </w:r>
      <w:proofErr w:type="spellStart"/>
      <w:r>
        <w:t>koagulopatie</w:t>
      </w:r>
      <w:proofErr w:type="spellEnd"/>
      <w:r>
        <w:t xml:space="preserve">, kde riziko krvácení je relativně menší ve srovnání s příznivým vlivem na tvorbu </w:t>
      </w:r>
      <w:proofErr w:type="spellStart"/>
      <w:r>
        <w:t>mikrotrombů</w:t>
      </w:r>
      <w:proofErr w:type="spellEnd"/>
      <w:r>
        <w:t>, některé formy infarktu myokardu, prevence nestabilní anginy pectoris, iktu (opakované trombózy) a transientní ischemické ataky.</w:t>
      </w:r>
    </w:p>
    <w:p w:rsidR="001D6A5D" w:rsidRDefault="001D6A5D" w:rsidP="001D6A5D">
      <w:pPr>
        <w:spacing w:line="360" w:lineRule="auto"/>
        <w:jc w:val="both"/>
        <w:rPr>
          <w:b/>
        </w:rPr>
      </w:pPr>
      <w:r>
        <w:rPr>
          <w:b/>
        </w:rPr>
        <w:t xml:space="preserve">Kontraindikace </w:t>
      </w:r>
    </w:p>
    <w:p w:rsidR="001D6A5D" w:rsidRDefault="001D6A5D" w:rsidP="001D6A5D">
      <w:pPr>
        <w:numPr>
          <w:ilvl w:val="0"/>
          <w:numId w:val="14"/>
        </w:numPr>
        <w:spacing w:line="360" w:lineRule="auto"/>
        <w:jc w:val="both"/>
      </w:pPr>
      <w:r>
        <w:t xml:space="preserve">hypersenzitivita na heparin </w:t>
      </w:r>
    </w:p>
    <w:p w:rsidR="001D6A5D" w:rsidRDefault="001D6A5D" w:rsidP="001D6A5D">
      <w:pPr>
        <w:numPr>
          <w:ilvl w:val="0"/>
          <w:numId w:val="14"/>
        </w:numPr>
        <w:spacing w:line="360" w:lineRule="auto"/>
        <w:jc w:val="both"/>
      </w:pPr>
      <w:r>
        <w:t xml:space="preserve">stavy s aktivním krvácením, trombocytopenie, purpura, krvácení </w:t>
      </w:r>
    </w:p>
    <w:p w:rsidR="001D6A5D" w:rsidRDefault="001D6A5D" w:rsidP="001D6A5D">
      <w:pPr>
        <w:numPr>
          <w:ilvl w:val="0"/>
          <w:numId w:val="14"/>
        </w:numPr>
        <w:spacing w:line="360" w:lineRule="auto"/>
        <w:jc w:val="both"/>
      </w:pPr>
      <w:r>
        <w:t>žaludeční nebo dvanáctníkový vřed, jícnové varixy</w:t>
      </w:r>
    </w:p>
    <w:p w:rsidR="001D6A5D" w:rsidRDefault="001D6A5D" w:rsidP="001D6A5D">
      <w:pPr>
        <w:numPr>
          <w:ilvl w:val="0"/>
          <w:numId w:val="14"/>
        </w:numPr>
        <w:spacing w:line="360" w:lineRule="auto"/>
        <w:jc w:val="both"/>
      </w:pPr>
      <w:r>
        <w:t>u hrozícího potratu a u karcinomu, pokud je zdrojem krvácení</w:t>
      </w:r>
    </w:p>
    <w:p w:rsidR="001D6A5D" w:rsidRDefault="001D6A5D" w:rsidP="001D6A5D">
      <w:pPr>
        <w:spacing w:line="360" w:lineRule="auto"/>
        <w:jc w:val="both"/>
      </w:pPr>
      <w:r>
        <w:rPr>
          <w:noProof/>
        </w:rPr>
        <mc:AlternateContent>
          <mc:Choice Requires="wps">
            <w:drawing>
              <wp:anchor distT="0" distB="0" distL="114300" distR="114300" simplePos="0" relativeHeight="251697152" behindDoc="0" locked="0" layoutInCell="1" allowOverlap="1">
                <wp:simplePos x="0" y="0"/>
                <wp:positionH relativeFrom="column">
                  <wp:posOffset>-194945</wp:posOffset>
                </wp:positionH>
                <wp:positionV relativeFrom="paragraph">
                  <wp:posOffset>146685</wp:posOffset>
                </wp:positionV>
                <wp:extent cx="6096000" cy="1019175"/>
                <wp:effectExtent l="24130" t="22860" r="23495" b="24765"/>
                <wp:wrapNone/>
                <wp:docPr id="2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01917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AD189" id="Obdélník 23" o:spid="_x0000_s1026" style="position:absolute;margin-left:-15.35pt;margin-top:11.55pt;width:480pt;height:8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" filled="f" strokecolor="red" strokeweight="3pt"/>
            </w:pict>
          </mc:Fallback>
        </mc:AlternateContent>
      </w:r>
    </w:p>
    <w:p w:rsidR="001D6A5D" w:rsidRDefault="001D6A5D" w:rsidP="001D6A5D">
      <w:pPr>
        <w:spacing w:line="360" w:lineRule="auto"/>
        <w:jc w:val="center"/>
      </w:pPr>
      <w:r>
        <w:t xml:space="preserve">Heparin se aplikuje subkutánně a intravenózně. Intramuskulární podání se nedoporučuje pro možnost vzniku hematomu. Rovněž jiná léčiva se u </w:t>
      </w:r>
      <w:proofErr w:type="spellStart"/>
      <w:r>
        <w:t>heparinizovaných</w:t>
      </w:r>
      <w:proofErr w:type="spellEnd"/>
      <w:r>
        <w:t xml:space="preserve"> pacientů nemají podávat ve formě intramuskulárních injekcí.</w:t>
      </w:r>
    </w:p>
    <w:p w:rsidR="001D6A5D" w:rsidRDefault="001D6A5D" w:rsidP="001D6A5D">
      <w:pPr>
        <w:spacing w:line="360" w:lineRule="auto"/>
      </w:pPr>
    </w:p>
    <w:p w:rsidR="001D6A5D" w:rsidRDefault="001D6A5D" w:rsidP="001D6A5D">
      <w:pPr>
        <w:spacing w:line="360" w:lineRule="auto"/>
        <w:rPr>
          <w:b/>
        </w:rPr>
      </w:pPr>
      <w:r>
        <w:t xml:space="preserve">Mezi nežádoucí účinky patří Hemoragické projevy na různých místech. </w:t>
      </w:r>
      <w:proofErr w:type="spellStart"/>
      <w:r>
        <w:rPr>
          <w:b/>
        </w:rPr>
        <w:t>Antidotem</w:t>
      </w:r>
      <w:proofErr w:type="spellEnd"/>
      <w:r>
        <w:rPr>
          <w:b/>
        </w:rPr>
        <w:t xml:space="preserve"> heparinu je protamin sulfát. </w:t>
      </w:r>
    </w:p>
    <w:p w:rsidR="001D6A5D" w:rsidRDefault="001D6A5D" w:rsidP="001D6A5D">
      <w:pPr>
        <w:spacing w:line="360" w:lineRule="auto"/>
        <w:rPr>
          <w:b/>
        </w:rPr>
      </w:pPr>
    </w:p>
    <w:p w:rsidR="001D6A5D" w:rsidRDefault="001D6A5D" w:rsidP="001D6A5D">
      <w:pPr>
        <w:spacing w:line="360" w:lineRule="auto"/>
        <w:rPr>
          <w:b/>
        </w:rPr>
      </w:pPr>
    </w:p>
    <w:p w:rsidR="001D6A5D" w:rsidRDefault="001D6A5D" w:rsidP="001D6A5D">
      <w:pPr>
        <w:spacing w:line="360" w:lineRule="auto"/>
        <w:rPr>
          <w:b/>
        </w:rPr>
      </w:pPr>
    </w:p>
    <w:p w:rsidR="001D6A5D" w:rsidRDefault="001D6A5D">
      <w:pPr>
        <w:spacing w:after="160" w:line="259" w:lineRule="auto"/>
        <w:rPr>
          <w:highlight w:val="green"/>
        </w:rPr>
      </w:pPr>
      <w:r>
        <w:rPr>
          <w:highlight w:val="green"/>
        </w:rPr>
        <w:br w:type="page"/>
      </w:r>
    </w:p>
    <w:p w:rsidR="001D6A5D" w:rsidRDefault="001D6A5D" w:rsidP="001D6A5D">
      <w:pPr>
        <w:spacing w:line="360" w:lineRule="auto"/>
      </w:pPr>
      <w:bookmarkStart w:id="0" w:name="_GoBack"/>
      <w:bookmarkEnd w:id="0"/>
      <w:proofErr w:type="spellStart"/>
      <w:r>
        <w:rPr>
          <w:highlight w:val="green"/>
        </w:rPr>
        <w:lastRenderedPageBreak/>
        <w:t>Kardegic</w:t>
      </w:r>
      <w:proofErr w:type="spellEnd"/>
      <w:r>
        <w:rPr>
          <w:highlight w:val="green"/>
        </w:rPr>
        <w:t xml:space="preserve"> </w:t>
      </w:r>
      <w:smartTag w:uri="urn:schemas-microsoft-com:office:smarttags" w:element="metricconverter">
        <w:smartTagPr>
          <w:attr w:name="ProductID" w:val="0,5 g"/>
        </w:smartTagPr>
        <w:r>
          <w:rPr>
            <w:highlight w:val="green"/>
          </w:rPr>
          <w:t>0,5 g</w:t>
        </w:r>
      </w:smartTag>
      <w:r>
        <w:t xml:space="preserve"> (</w:t>
      </w:r>
      <w:proofErr w:type="spellStart"/>
      <w:r>
        <w:t>acidum</w:t>
      </w:r>
      <w:proofErr w:type="spellEnd"/>
      <w:r>
        <w:t xml:space="preserve"> </w:t>
      </w:r>
      <w:proofErr w:type="spellStart"/>
      <w:r>
        <w:t>acetylsalicylicum</w:t>
      </w:r>
      <w:proofErr w:type="spellEnd"/>
      <w:r>
        <w:t xml:space="preserve"> 500 mg v jedné lahvičce)</w:t>
      </w:r>
    </w:p>
    <w:p w:rsidR="001D6A5D" w:rsidRDefault="001D6A5D" w:rsidP="001D6A5D">
      <w:pPr>
        <w:spacing w:line="360" w:lineRule="auto"/>
        <w:jc w:val="both"/>
      </w:pPr>
      <w:r>
        <w:rPr>
          <w:noProof/>
        </w:rPr>
        <w:drawing>
          <wp:anchor distT="0" distB="0" distL="114300" distR="114300" simplePos="0" relativeHeight="251699200" behindDoc="1" locked="0" layoutInCell="1" allowOverlap="1">
            <wp:simplePos x="0" y="0"/>
            <wp:positionH relativeFrom="column">
              <wp:posOffset>-4445</wp:posOffset>
            </wp:positionH>
            <wp:positionV relativeFrom="paragraph">
              <wp:posOffset>-5715</wp:posOffset>
            </wp:positionV>
            <wp:extent cx="3333750" cy="2143125"/>
            <wp:effectExtent l="0" t="0" r="0" b="9525"/>
            <wp:wrapTight wrapText="bothSides">
              <wp:wrapPolygon edited="0">
                <wp:start x="0" y="0"/>
                <wp:lineTo x="0" y="21504"/>
                <wp:lineTo x="21477" y="21504"/>
                <wp:lineTo x="21477" y="0"/>
                <wp:lineTo x="0" y="0"/>
              </wp:wrapPolygon>
            </wp:wrapTight>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33750" cy="2143125"/>
                    </a:xfrm>
                    <a:prstGeom prst="rect">
                      <a:avLst/>
                    </a:prstGeom>
                    <a:noFill/>
                  </pic:spPr>
                </pic:pic>
              </a:graphicData>
            </a:graphic>
            <wp14:sizeRelH relativeFrom="page">
              <wp14:pctWidth>0</wp14:pctWidth>
            </wp14:sizeRelH>
            <wp14:sizeRelV relativeFrom="page">
              <wp14:pctHeight>0</wp14:pctHeight>
            </wp14:sizeRelV>
          </wp:anchor>
        </w:drawing>
      </w:r>
      <w:r>
        <w:t xml:space="preserve">Antikoagulancium a </w:t>
      </w:r>
      <w:proofErr w:type="spellStart"/>
      <w:r>
        <w:t>antiagregancium</w:t>
      </w:r>
      <w:proofErr w:type="spellEnd"/>
      <w:r>
        <w:t xml:space="preserve"> sloužící k léčbě akutních koronárních příhod (akutní infarkt myokardu a nestabilní angina pectoris) jako počáteční dávka, zvláště v případech, kdy nelze podat perorální preparáty. Přípravek je určen pro podání dospělým osobám.</w:t>
      </w:r>
    </w:p>
    <w:p w:rsidR="001D6A5D" w:rsidRDefault="001D6A5D" w:rsidP="001D6A5D">
      <w:pPr>
        <w:spacing w:line="360" w:lineRule="auto"/>
        <w:jc w:val="both"/>
      </w:pPr>
    </w:p>
    <w:p w:rsidR="001D6A5D" w:rsidRDefault="001D6A5D" w:rsidP="001D6A5D">
      <w:pPr>
        <w:spacing w:line="360" w:lineRule="auto"/>
        <w:jc w:val="both"/>
        <w:rPr>
          <w:b/>
        </w:rPr>
      </w:pPr>
      <w:r>
        <w:rPr>
          <w:b/>
        </w:rPr>
        <w:br/>
        <w:t xml:space="preserve">Kontraindikace: </w:t>
      </w:r>
    </w:p>
    <w:p w:rsidR="001D6A5D" w:rsidRDefault="001D6A5D" w:rsidP="001D6A5D">
      <w:pPr>
        <w:numPr>
          <w:ilvl w:val="0"/>
          <w:numId w:val="15"/>
        </w:numPr>
        <w:spacing w:line="360" w:lineRule="auto"/>
        <w:jc w:val="both"/>
      </w:pPr>
      <w:r>
        <w:t xml:space="preserve">hypersenzitivita na kyselinu acetylsalicylovou </w:t>
      </w:r>
    </w:p>
    <w:p w:rsidR="001D6A5D" w:rsidRDefault="001D6A5D" w:rsidP="001D6A5D">
      <w:pPr>
        <w:numPr>
          <w:ilvl w:val="0"/>
          <w:numId w:val="15"/>
        </w:numPr>
        <w:spacing w:line="360" w:lineRule="auto"/>
        <w:jc w:val="both"/>
      </w:pPr>
      <w:r>
        <w:t xml:space="preserve">anamnéza astmatu indukovaného podáváním </w:t>
      </w:r>
      <w:proofErr w:type="spellStart"/>
      <w:r>
        <w:t>acetylsalicylátů</w:t>
      </w:r>
      <w:proofErr w:type="spellEnd"/>
    </w:p>
    <w:p w:rsidR="001D6A5D" w:rsidRDefault="001D6A5D" w:rsidP="001D6A5D">
      <w:pPr>
        <w:numPr>
          <w:ilvl w:val="0"/>
          <w:numId w:val="15"/>
        </w:numPr>
        <w:spacing w:line="360" w:lineRule="auto"/>
        <w:jc w:val="both"/>
      </w:pPr>
      <w:r>
        <w:t>aktivní peptický vřed</w:t>
      </w:r>
    </w:p>
    <w:p w:rsidR="001D6A5D" w:rsidRDefault="001D6A5D" w:rsidP="001D6A5D">
      <w:pPr>
        <w:numPr>
          <w:ilvl w:val="0"/>
          <w:numId w:val="15"/>
        </w:numPr>
        <w:spacing w:line="360" w:lineRule="auto"/>
        <w:jc w:val="both"/>
      </w:pPr>
      <w:r>
        <w:t xml:space="preserve">poruchy </w:t>
      </w:r>
      <w:proofErr w:type="spellStart"/>
      <w:r>
        <w:t>hemokoagulace</w:t>
      </w:r>
      <w:proofErr w:type="spellEnd"/>
      <w:r>
        <w:t xml:space="preserve"> </w:t>
      </w:r>
    </w:p>
    <w:p w:rsidR="001D6A5D" w:rsidRDefault="001D6A5D" w:rsidP="001D6A5D">
      <w:pPr>
        <w:numPr>
          <w:ilvl w:val="0"/>
          <w:numId w:val="15"/>
        </w:numPr>
        <w:spacing w:line="360" w:lineRule="auto"/>
        <w:jc w:val="both"/>
      </w:pPr>
      <w:r>
        <w:t xml:space="preserve">současné užívání </w:t>
      </w:r>
      <w:proofErr w:type="spellStart"/>
      <w:r>
        <w:t>metotrexátu</w:t>
      </w:r>
      <w:proofErr w:type="spellEnd"/>
      <w:r>
        <w:t xml:space="preserve"> v dávce vyšší než 15 mg/týdně </w:t>
      </w:r>
    </w:p>
    <w:p w:rsidR="001D6A5D" w:rsidRDefault="001D6A5D" w:rsidP="001D6A5D">
      <w:pPr>
        <w:numPr>
          <w:ilvl w:val="0"/>
          <w:numId w:val="15"/>
        </w:numPr>
        <w:spacing w:line="360" w:lineRule="auto"/>
        <w:jc w:val="both"/>
      </w:pPr>
      <w:r>
        <w:t xml:space="preserve">současné užívání kyseliny acetylsalicylové v protizánětlivých, analgetických nebo antipyretických dávkách </w:t>
      </w:r>
    </w:p>
    <w:p w:rsidR="001D6A5D" w:rsidRDefault="001D6A5D" w:rsidP="001D6A5D">
      <w:pPr>
        <w:numPr>
          <w:ilvl w:val="0"/>
          <w:numId w:val="15"/>
        </w:numPr>
        <w:spacing w:line="360" w:lineRule="auto"/>
        <w:jc w:val="both"/>
      </w:pPr>
      <w:r>
        <w:t xml:space="preserve">podání pacientům s </w:t>
      </w:r>
      <w:proofErr w:type="spellStart"/>
      <w:r>
        <w:t>preexistující</w:t>
      </w:r>
      <w:proofErr w:type="spellEnd"/>
      <w:r>
        <w:t xml:space="preserve"> </w:t>
      </w:r>
      <w:proofErr w:type="spellStart"/>
      <w:r>
        <w:t>mastocytózou</w:t>
      </w:r>
      <w:proofErr w:type="spellEnd"/>
      <w:r>
        <w:t>, u nichž může užívání kyseliny acetylsalicylové vyvolat závažné hypersenzitivní reakce (včetně oběhového šoku se zrudnutím, hypotenzí, tachykardií a zvracením)</w:t>
      </w:r>
    </w:p>
    <w:p w:rsidR="001D6A5D" w:rsidRDefault="001D6A5D" w:rsidP="001D6A5D">
      <w:pPr>
        <w:spacing w:line="360" w:lineRule="auto"/>
        <w:jc w:val="both"/>
      </w:pPr>
      <w:r>
        <w:t>Mezi hlavní nežádoucí reakci po podání patří krvácení (epistaxe, hematomy).</w:t>
      </w:r>
    </w:p>
    <w:p w:rsidR="001D6A5D" w:rsidRDefault="001D6A5D"/>
    <w:sectPr w:rsidR="001D6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909"/>
    <w:multiLevelType w:val="hybridMultilevel"/>
    <w:tmpl w:val="34D661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51D01"/>
    <w:multiLevelType w:val="hybridMultilevel"/>
    <w:tmpl w:val="C7AE03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05E0701"/>
    <w:multiLevelType w:val="hybridMultilevel"/>
    <w:tmpl w:val="D18EDE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3DE3F08"/>
    <w:multiLevelType w:val="hybridMultilevel"/>
    <w:tmpl w:val="8AB01B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6E4099D"/>
    <w:multiLevelType w:val="hybridMultilevel"/>
    <w:tmpl w:val="F7169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520FDD"/>
    <w:multiLevelType w:val="hybridMultilevel"/>
    <w:tmpl w:val="6366C1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9C0D41"/>
    <w:multiLevelType w:val="hybridMultilevel"/>
    <w:tmpl w:val="59A0D19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123CAF"/>
    <w:multiLevelType w:val="hybridMultilevel"/>
    <w:tmpl w:val="41F2419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669F2"/>
    <w:multiLevelType w:val="hybridMultilevel"/>
    <w:tmpl w:val="92601A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4FB22D5D"/>
    <w:multiLevelType w:val="multilevel"/>
    <w:tmpl w:val="F7984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57D60"/>
    <w:multiLevelType w:val="hybridMultilevel"/>
    <w:tmpl w:val="46383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B3F243C"/>
    <w:multiLevelType w:val="hybridMultilevel"/>
    <w:tmpl w:val="B172D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36236CB"/>
    <w:multiLevelType w:val="hybridMultilevel"/>
    <w:tmpl w:val="6BF61E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62B2C91"/>
    <w:multiLevelType w:val="hybridMultilevel"/>
    <w:tmpl w:val="C6949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85A60E5"/>
    <w:multiLevelType w:val="hybridMultilevel"/>
    <w:tmpl w:val="06205CC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1"/>
  </w:num>
  <w:num w:numId="4">
    <w:abstractNumId w:val="14"/>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12"/>
  </w:num>
  <w:num w:numId="7">
    <w:abstractNumId w:val="10"/>
  </w:num>
  <w:num w:numId="8">
    <w:abstractNumId w:val="13"/>
  </w:num>
  <w:num w:numId="9">
    <w:abstractNumId w:val="1"/>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CA"/>
    <w:rsid w:val="000443D8"/>
    <w:rsid w:val="00115123"/>
    <w:rsid w:val="001D6A5D"/>
    <w:rsid w:val="002B3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48"/>
    <o:shapelayout v:ext="edit">
      <o:idmap v:ext="edit" data="1"/>
    </o:shapelayout>
  </w:shapeDefaults>
  <w:decimalSymbol w:val=","/>
  <w:listSeparator w:val=";"/>
  <w14:docId w14:val="1E1D230B"/>
  <w15:chartTrackingRefBased/>
  <w15:docId w15:val="{51419D41-1D8D-4CDA-951F-BA2AE56F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B3AC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D6A5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1D6A5D"/>
    <w:pPr>
      <w:ind w:left="720"/>
      <w:contextualSpacing/>
    </w:pPr>
  </w:style>
  <w:style w:type="character" w:styleId="Hypertextovodkaz">
    <w:name w:val="Hyperlink"/>
    <w:uiPriority w:val="99"/>
    <w:semiHidden/>
    <w:unhideWhenUsed/>
    <w:rsid w:val="001D6A5D"/>
    <w:rPr>
      <w:color w:val="0000FF"/>
      <w:u w:val="single"/>
    </w:rPr>
  </w:style>
  <w:style w:type="character" w:customStyle="1" w:styleId="st">
    <w:name w:val="st"/>
    <w:basedOn w:val="Standardnpsmoodstavce"/>
    <w:rsid w:val="001D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25862">
      <w:bodyDiv w:val="1"/>
      <w:marLeft w:val="0"/>
      <w:marRight w:val="0"/>
      <w:marTop w:val="0"/>
      <w:marBottom w:val="0"/>
      <w:divBdr>
        <w:top w:val="none" w:sz="0" w:space="0" w:color="auto"/>
        <w:left w:val="none" w:sz="0" w:space="0" w:color="auto"/>
        <w:bottom w:val="none" w:sz="0" w:space="0" w:color="auto"/>
        <w:right w:val="none" w:sz="0" w:space="0" w:color="auto"/>
      </w:divBdr>
    </w:div>
    <w:div w:id="205988952">
      <w:bodyDiv w:val="1"/>
      <w:marLeft w:val="0"/>
      <w:marRight w:val="0"/>
      <w:marTop w:val="0"/>
      <w:marBottom w:val="0"/>
      <w:divBdr>
        <w:top w:val="none" w:sz="0" w:space="0" w:color="auto"/>
        <w:left w:val="none" w:sz="0" w:space="0" w:color="auto"/>
        <w:bottom w:val="none" w:sz="0" w:space="0" w:color="auto"/>
        <w:right w:val="none" w:sz="0" w:space="0" w:color="auto"/>
      </w:divBdr>
    </w:div>
    <w:div w:id="326330097">
      <w:bodyDiv w:val="1"/>
      <w:marLeft w:val="0"/>
      <w:marRight w:val="0"/>
      <w:marTop w:val="0"/>
      <w:marBottom w:val="0"/>
      <w:divBdr>
        <w:top w:val="none" w:sz="0" w:space="0" w:color="auto"/>
        <w:left w:val="none" w:sz="0" w:space="0" w:color="auto"/>
        <w:bottom w:val="none" w:sz="0" w:space="0" w:color="auto"/>
        <w:right w:val="none" w:sz="0" w:space="0" w:color="auto"/>
      </w:divBdr>
    </w:div>
    <w:div w:id="456292021">
      <w:bodyDiv w:val="1"/>
      <w:marLeft w:val="0"/>
      <w:marRight w:val="0"/>
      <w:marTop w:val="0"/>
      <w:marBottom w:val="0"/>
      <w:divBdr>
        <w:top w:val="none" w:sz="0" w:space="0" w:color="auto"/>
        <w:left w:val="none" w:sz="0" w:space="0" w:color="auto"/>
        <w:bottom w:val="none" w:sz="0" w:space="0" w:color="auto"/>
        <w:right w:val="none" w:sz="0" w:space="0" w:color="auto"/>
      </w:divBdr>
    </w:div>
    <w:div w:id="527715645">
      <w:bodyDiv w:val="1"/>
      <w:marLeft w:val="0"/>
      <w:marRight w:val="0"/>
      <w:marTop w:val="0"/>
      <w:marBottom w:val="0"/>
      <w:divBdr>
        <w:top w:val="none" w:sz="0" w:space="0" w:color="auto"/>
        <w:left w:val="none" w:sz="0" w:space="0" w:color="auto"/>
        <w:bottom w:val="none" w:sz="0" w:space="0" w:color="auto"/>
        <w:right w:val="none" w:sz="0" w:space="0" w:color="auto"/>
      </w:divBdr>
    </w:div>
    <w:div w:id="650720584">
      <w:bodyDiv w:val="1"/>
      <w:marLeft w:val="0"/>
      <w:marRight w:val="0"/>
      <w:marTop w:val="0"/>
      <w:marBottom w:val="0"/>
      <w:divBdr>
        <w:top w:val="none" w:sz="0" w:space="0" w:color="auto"/>
        <w:left w:val="none" w:sz="0" w:space="0" w:color="auto"/>
        <w:bottom w:val="none" w:sz="0" w:space="0" w:color="auto"/>
        <w:right w:val="none" w:sz="0" w:space="0" w:color="auto"/>
      </w:divBdr>
    </w:div>
    <w:div w:id="812525155">
      <w:bodyDiv w:val="1"/>
      <w:marLeft w:val="0"/>
      <w:marRight w:val="0"/>
      <w:marTop w:val="0"/>
      <w:marBottom w:val="0"/>
      <w:divBdr>
        <w:top w:val="none" w:sz="0" w:space="0" w:color="auto"/>
        <w:left w:val="none" w:sz="0" w:space="0" w:color="auto"/>
        <w:bottom w:val="none" w:sz="0" w:space="0" w:color="auto"/>
        <w:right w:val="none" w:sz="0" w:space="0" w:color="auto"/>
      </w:divBdr>
    </w:div>
    <w:div w:id="907568318">
      <w:bodyDiv w:val="1"/>
      <w:marLeft w:val="0"/>
      <w:marRight w:val="0"/>
      <w:marTop w:val="0"/>
      <w:marBottom w:val="0"/>
      <w:divBdr>
        <w:top w:val="none" w:sz="0" w:space="0" w:color="auto"/>
        <w:left w:val="none" w:sz="0" w:space="0" w:color="auto"/>
        <w:bottom w:val="none" w:sz="0" w:space="0" w:color="auto"/>
        <w:right w:val="none" w:sz="0" w:space="0" w:color="auto"/>
      </w:divBdr>
    </w:div>
    <w:div w:id="926304684">
      <w:bodyDiv w:val="1"/>
      <w:marLeft w:val="0"/>
      <w:marRight w:val="0"/>
      <w:marTop w:val="0"/>
      <w:marBottom w:val="0"/>
      <w:divBdr>
        <w:top w:val="none" w:sz="0" w:space="0" w:color="auto"/>
        <w:left w:val="none" w:sz="0" w:space="0" w:color="auto"/>
        <w:bottom w:val="none" w:sz="0" w:space="0" w:color="auto"/>
        <w:right w:val="none" w:sz="0" w:space="0" w:color="auto"/>
      </w:divBdr>
    </w:div>
    <w:div w:id="959647453">
      <w:bodyDiv w:val="1"/>
      <w:marLeft w:val="0"/>
      <w:marRight w:val="0"/>
      <w:marTop w:val="0"/>
      <w:marBottom w:val="0"/>
      <w:divBdr>
        <w:top w:val="none" w:sz="0" w:space="0" w:color="auto"/>
        <w:left w:val="none" w:sz="0" w:space="0" w:color="auto"/>
        <w:bottom w:val="none" w:sz="0" w:space="0" w:color="auto"/>
        <w:right w:val="none" w:sz="0" w:space="0" w:color="auto"/>
      </w:divBdr>
    </w:div>
    <w:div w:id="1103842038">
      <w:bodyDiv w:val="1"/>
      <w:marLeft w:val="0"/>
      <w:marRight w:val="0"/>
      <w:marTop w:val="0"/>
      <w:marBottom w:val="0"/>
      <w:divBdr>
        <w:top w:val="none" w:sz="0" w:space="0" w:color="auto"/>
        <w:left w:val="none" w:sz="0" w:space="0" w:color="auto"/>
        <w:bottom w:val="none" w:sz="0" w:space="0" w:color="auto"/>
        <w:right w:val="none" w:sz="0" w:space="0" w:color="auto"/>
      </w:divBdr>
    </w:div>
    <w:div w:id="1145204056">
      <w:bodyDiv w:val="1"/>
      <w:marLeft w:val="0"/>
      <w:marRight w:val="0"/>
      <w:marTop w:val="0"/>
      <w:marBottom w:val="0"/>
      <w:divBdr>
        <w:top w:val="none" w:sz="0" w:space="0" w:color="auto"/>
        <w:left w:val="none" w:sz="0" w:space="0" w:color="auto"/>
        <w:bottom w:val="none" w:sz="0" w:space="0" w:color="auto"/>
        <w:right w:val="none" w:sz="0" w:space="0" w:color="auto"/>
      </w:divBdr>
    </w:div>
    <w:div w:id="1270623938">
      <w:bodyDiv w:val="1"/>
      <w:marLeft w:val="0"/>
      <w:marRight w:val="0"/>
      <w:marTop w:val="0"/>
      <w:marBottom w:val="0"/>
      <w:divBdr>
        <w:top w:val="none" w:sz="0" w:space="0" w:color="auto"/>
        <w:left w:val="none" w:sz="0" w:space="0" w:color="auto"/>
        <w:bottom w:val="none" w:sz="0" w:space="0" w:color="auto"/>
        <w:right w:val="none" w:sz="0" w:space="0" w:color="auto"/>
      </w:divBdr>
    </w:div>
    <w:div w:id="1305234314">
      <w:bodyDiv w:val="1"/>
      <w:marLeft w:val="0"/>
      <w:marRight w:val="0"/>
      <w:marTop w:val="0"/>
      <w:marBottom w:val="0"/>
      <w:divBdr>
        <w:top w:val="none" w:sz="0" w:space="0" w:color="auto"/>
        <w:left w:val="none" w:sz="0" w:space="0" w:color="auto"/>
        <w:bottom w:val="none" w:sz="0" w:space="0" w:color="auto"/>
        <w:right w:val="none" w:sz="0" w:space="0" w:color="auto"/>
      </w:divBdr>
    </w:div>
    <w:div w:id="1495225001">
      <w:bodyDiv w:val="1"/>
      <w:marLeft w:val="0"/>
      <w:marRight w:val="0"/>
      <w:marTop w:val="0"/>
      <w:marBottom w:val="0"/>
      <w:divBdr>
        <w:top w:val="none" w:sz="0" w:space="0" w:color="auto"/>
        <w:left w:val="none" w:sz="0" w:space="0" w:color="auto"/>
        <w:bottom w:val="none" w:sz="0" w:space="0" w:color="auto"/>
        <w:right w:val="none" w:sz="0" w:space="0" w:color="auto"/>
      </w:divBdr>
    </w:div>
    <w:div w:id="1602759611">
      <w:bodyDiv w:val="1"/>
      <w:marLeft w:val="0"/>
      <w:marRight w:val="0"/>
      <w:marTop w:val="0"/>
      <w:marBottom w:val="0"/>
      <w:divBdr>
        <w:top w:val="none" w:sz="0" w:space="0" w:color="auto"/>
        <w:left w:val="none" w:sz="0" w:space="0" w:color="auto"/>
        <w:bottom w:val="none" w:sz="0" w:space="0" w:color="auto"/>
        <w:right w:val="none" w:sz="0" w:space="0" w:color="auto"/>
      </w:divBdr>
    </w:div>
    <w:div w:id="196793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www.wikiskripta.eu/index.php/Exant%C3%A9m" TargetMode="External"/><Relationship Id="rId21" Type="http://schemas.openxmlformats.org/officeDocument/2006/relationships/hyperlink" Target="http://www.wikiskripta.eu/index.php/Bezv%C4%9Bdom%C3%AD" TargetMode="External"/><Relationship Id="rId34" Type="http://schemas.openxmlformats.org/officeDocument/2006/relationships/image" Target="media/image21.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wikiskripta.eu/index.php/Dyspepsie" TargetMode="External"/><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www.wikiskripta.eu/index.php?title=ACHE&amp;action=edit&amp;redlink=1" TargetMode="Externa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hyperlink" Target="http://www.wikiskripta.eu/index.php?title=Pyr%C3%B3za&amp;action=edit&amp;redlink=1" TargetMode="External"/><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emf"/><Relationship Id="rId23" Type="http://schemas.openxmlformats.org/officeDocument/2006/relationships/hyperlink" Target="http://www.wikiskripta.eu/index.php?title=Placent%C3%A1rn%C3%AD_bari%C3%A9ra&amp;action=edit&amp;redlink=1" TargetMode="External"/><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http://www.dinarin.cz/out/pictures/z1/syntophyllininj5x10ml240mg_z1.jpg" TargetMode="External"/><Relationship Id="rId19" Type="http://schemas.openxmlformats.org/officeDocument/2006/relationships/image" Target="http://static.adcc.sk/media/images/products/HL/127362/0_qmdgxn0_400x400.jpg" TargetMode="Externa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 Id="rId22" Type="http://schemas.openxmlformats.org/officeDocument/2006/relationships/hyperlink" Target="http://www.wikiskripta.eu/index.php/Antiemetika"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4749</Words>
  <Characters>28020</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VSZDRAV</Company>
  <LinksUpToDate>false</LinksUpToDate>
  <CharactersWithSpaces>32704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Pekara, Jaroslav</dc:creator>
  <cp:keywords/>
  <dc:description/>
  <cp:lastModifiedBy>Pekara, Jaroslav</cp:lastModifiedBy>
  <cp:revision>2</cp:revision>
  <dcterms:created xsi:type="dcterms:W3CDTF">2020-03-16T12:46:00Z</dcterms:created>
  <dcterms:modified xsi:type="dcterms:W3CDTF">2020-03-16T12:57:00Z</dcterms:modified>
</cp:coreProperties>
</file>