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1"/>
        <w:spacing w:before="0" w:after="240"/>
        <w:ind w:left="142" w:hanging="0"/>
        <w:jc w:val="center"/>
        <w:rPr>
          <w:rFonts w:cs="Arial"/>
          <w:color w:val="0000FF"/>
          <w:sz w:val="28"/>
          <w:szCs w:val="28"/>
        </w:rPr>
      </w:pPr>
      <w:bookmarkStart w:id="0" w:name="_GoBack"/>
      <w:bookmarkEnd w:id="0"/>
      <w:r>
        <w:rPr>
          <w:rFonts w:cs="Arial"/>
          <w:caps/>
          <w:color w:val="0000FF"/>
          <w:sz w:val="28"/>
          <w:szCs w:val="28"/>
        </w:rPr>
        <w:t>Kazuistika</w:t>
      </w:r>
      <w:r>
        <w:rPr>
          <w:rFonts w:cs="Arial"/>
          <w:color w:val="0000FF"/>
          <w:sz w:val="28"/>
          <w:szCs w:val="28"/>
        </w:rPr>
        <w:t xml:space="preserve"> – Pacientka s dekompenzovaným diabetem mellitem II. typu</w:t>
      </w:r>
    </w:p>
    <w:p>
      <w:pPr>
        <w:pStyle w:val="Normal"/>
        <w:spacing w:before="0" w:after="240"/>
        <w:jc w:val="both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  <w:t>Důvod přijetí:</w:t>
      </w:r>
    </w:p>
    <w:p>
      <w:pPr>
        <w:pStyle w:val="Normal"/>
        <w:spacing w:lineRule="auto" w:line="360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83letá pacientka byla přijata na interní oddělení, pro dekompenzovaný diabetes mellitus 2. typu na PAD. V ordinaci diabetologa naměřeny opakovaně vyšší glykémie, bylo vysloveno podezření na neúčinnost PAD. Vzhledem k věku a ostatním diagnózám byla přijata na lůžkové oddělení z důvodu pravděpodobného převedení na inzulín.</w:t>
      </w:r>
    </w:p>
    <w:p>
      <w:pPr>
        <w:pStyle w:val="Normal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p>
      <w:pPr>
        <w:pStyle w:val="Normal"/>
        <w:spacing w:before="0" w:after="240"/>
        <w:jc w:val="both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  <w:t>Hodnoty zjištěné při příjmu: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360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Doma pacientka občas pozoruje nevolnost, rozmazané vidění, sucho v ústech, nyní však bez těchto obtíží. Pacientka při vědomí, mobilní, orientovaná osobou, místem i časem, spolupracuje. Kůže čistá, bez ikteru a cyanózy, kožní turgor v normě, pacientka hydratována. Pacientka bez bolesti.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360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b/>
          <w:bCs/>
          <w:sz w:val="24"/>
          <w:szCs w:val="24"/>
        </w:rPr>
        <w:t xml:space="preserve">Hlava a krk: </w:t>
      </w:r>
      <w:r>
        <w:rPr>
          <w:rFonts w:eastAsia="Times New Roman" w:cs="Arial" w:ascii="Arial" w:hAnsi="Arial"/>
          <w:sz w:val="24"/>
          <w:szCs w:val="24"/>
        </w:rPr>
        <w:t>hlava symetrická, nebolestivá, zornice izokorické, skléry bílé, spojivky růžové, nos volný, čistý, mandle čisté, krk souměrný, uzliny nezvětšeny, náplň krčních žil nezvětšena, jazyk plazí středem, vlhký bez povlaku, zubní protéza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360"/>
        <w:jc w:val="both"/>
        <w:rPr>
          <w:rFonts w:ascii="Arial" w:hAnsi="Arial" w:eastAsia="Times New Roman" w:cs="Arial"/>
          <w:b/>
          <w:b/>
          <w:bCs/>
          <w:sz w:val="24"/>
          <w:szCs w:val="24"/>
        </w:rPr>
      </w:pPr>
      <w:r>
        <w:rPr>
          <w:rFonts w:eastAsia="Times New Roman" w:cs="Arial" w:ascii="Arial" w:hAnsi="Arial"/>
          <w:b/>
          <w:bCs/>
          <w:sz w:val="24"/>
          <w:szCs w:val="24"/>
        </w:rPr>
        <w:t xml:space="preserve">Hrudník: </w:t>
      </w:r>
      <w:r>
        <w:rPr>
          <w:rFonts w:eastAsia="Times New Roman" w:cs="Arial" w:ascii="Arial" w:hAnsi="Arial"/>
          <w:bCs/>
          <w:sz w:val="24"/>
          <w:szCs w:val="24"/>
        </w:rPr>
        <w:t>akce srdeční pravidelná, ozvy ohraničené, pulsace hmatné, eupnoe, dýchání čisté, bez kašle, afebrilní, při námaze se zadýchává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360"/>
        <w:jc w:val="both"/>
        <w:rPr>
          <w:rFonts w:ascii="Arial" w:hAnsi="Arial" w:eastAsia="Times New Roman" w:cs="Arial"/>
          <w:b/>
          <w:b/>
          <w:bCs/>
          <w:sz w:val="24"/>
          <w:szCs w:val="24"/>
        </w:rPr>
      </w:pPr>
      <w:r>
        <w:rPr>
          <w:rFonts w:eastAsia="Times New Roman" w:cs="Arial" w:ascii="Arial" w:hAnsi="Arial"/>
          <w:b/>
          <w:bCs/>
          <w:sz w:val="24"/>
          <w:szCs w:val="24"/>
        </w:rPr>
        <w:t>Břicho:</w:t>
      </w:r>
      <w:r>
        <w:rPr>
          <w:rFonts w:eastAsia="Times New Roman" w:cs="Arial" w:ascii="Arial" w:hAnsi="Arial"/>
          <w:bCs/>
          <w:sz w:val="24"/>
          <w:szCs w:val="24"/>
        </w:rPr>
        <w:t xml:space="preserve"> klidné, měkké, pohmatově nebolestivé, peristaltika volná, bez hmatné patologické odolnosti. Játra nezvětšena, slezina nehmatná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360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b/>
          <w:bCs/>
          <w:sz w:val="24"/>
          <w:szCs w:val="24"/>
        </w:rPr>
        <w:t xml:space="preserve">Končetiny: </w:t>
      </w:r>
      <w:r>
        <w:rPr>
          <w:rFonts w:eastAsia="Times New Roman" w:cs="Arial" w:ascii="Arial" w:hAnsi="Arial"/>
          <w:sz w:val="24"/>
          <w:szCs w:val="24"/>
        </w:rPr>
        <w:t>bez omezení hybnosti, otoky DK kolem kotníků</w:t>
      </w:r>
    </w:p>
    <w:p>
      <w:pPr>
        <w:pStyle w:val="Normal"/>
        <w:ind w:left="720" w:hanging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before="0" w:after="240"/>
        <w:jc w:val="both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  <w:t>Fyzikální vyšetření v 1. den hospitalizace: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TK: </w:t>
      </w:r>
      <w:r>
        <w:rPr>
          <w:rFonts w:cs="Arial" w:ascii="Arial" w:hAnsi="Arial"/>
          <w:sz w:val="24"/>
          <w:szCs w:val="24"/>
        </w:rPr>
        <w:t>135/83 mmHg.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P: </w:t>
      </w:r>
      <w:r>
        <w:rPr>
          <w:rFonts w:cs="Arial" w:ascii="Arial" w:hAnsi="Arial"/>
          <w:sz w:val="24"/>
          <w:szCs w:val="24"/>
        </w:rPr>
        <w:t>85/min.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D: </w:t>
      </w:r>
      <w:r>
        <w:rPr>
          <w:rFonts w:cs="Arial" w:ascii="Arial" w:hAnsi="Arial"/>
          <w:sz w:val="24"/>
          <w:szCs w:val="24"/>
        </w:rPr>
        <w:t>18/min.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SpO2: </w:t>
      </w:r>
      <w:r>
        <w:rPr>
          <w:rFonts w:cs="Arial" w:ascii="Arial" w:hAnsi="Arial"/>
          <w:sz w:val="24"/>
          <w:szCs w:val="24"/>
        </w:rPr>
        <w:t>96 %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TT: </w:t>
      </w:r>
      <w:r>
        <w:rPr>
          <w:rFonts w:cs="Arial" w:ascii="Arial" w:hAnsi="Arial"/>
          <w:sz w:val="24"/>
          <w:szCs w:val="24"/>
        </w:rPr>
        <w:t>36,5 ˚C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Výška: </w:t>
      </w:r>
      <w:r>
        <w:rPr>
          <w:rFonts w:cs="Arial" w:ascii="Arial" w:hAnsi="Arial"/>
          <w:sz w:val="24"/>
          <w:szCs w:val="24"/>
        </w:rPr>
        <w:t>168 cm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Hmotnost: </w:t>
      </w:r>
      <w:r>
        <w:rPr>
          <w:rFonts w:cs="Arial" w:ascii="Arial" w:hAnsi="Arial"/>
          <w:sz w:val="24"/>
          <w:szCs w:val="24"/>
        </w:rPr>
        <w:t>59 kg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BMI: </w:t>
      </w:r>
      <w:r>
        <w:rPr>
          <w:rFonts w:cs="Arial" w:ascii="Arial" w:hAnsi="Arial"/>
          <w:sz w:val="24"/>
          <w:szCs w:val="24"/>
        </w:rPr>
        <w:t>25</w:t>
      </w:r>
      <w:r>
        <w:br w:type="page"/>
      </w:r>
    </w:p>
    <w:p>
      <w:pPr>
        <w:pStyle w:val="Normal"/>
        <w:rPr>
          <w:rFonts w:ascii="Arial" w:hAnsi="Arial" w:cs="Arial"/>
          <w:b/>
          <w:b/>
          <w:color w:val="0000FF"/>
          <w:sz w:val="28"/>
          <w:szCs w:val="28"/>
        </w:rPr>
      </w:pPr>
      <w:r>
        <w:rPr>
          <w:rFonts w:cs="Arial" w:ascii="Arial" w:hAnsi="Arial"/>
          <w:b/>
          <w:color w:val="0000FF"/>
          <w:sz w:val="28"/>
          <w:szCs w:val="28"/>
        </w:rPr>
        <w:t>Ošetřovatelský proces u pacientky s dekompenzovaným diabetem mellitem II. typu</w:t>
      </w:r>
    </w:p>
    <w:p>
      <w:pPr>
        <w:pStyle w:val="Normal"/>
        <w:rPr/>
      </w:pPr>
      <w:r>
        <w:rPr/>
      </w:r>
    </w:p>
    <w:p>
      <w:pPr>
        <w:pStyle w:val="Nadpis1"/>
        <w:ind w:left="142" w:hanging="0"/>
        <w:rPr>
          <w:rFonts w:cs="Arial"/>
          <w:color w:val="0000FF"/>
          <w:szCs w:val="24"/>
        </w:rPr>
      </w:pPr>
      <w:r>
        <w:rPr>
          <w:rFonts w:cs="Arial"/>
          <w:color w:val="0000FF"/>
          <w:szCs w:val="24"/>
        </w:rPr>
        <w:t>Identifikační údaje:</w:t>
      </w:r>
    </w:p>
    <w:tbl>
      <w:tblPr>
        <w:tblW w:w="900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550"/>
        <w:gridCol w:w="2130"/>
        <w:gridCol w:w="1982"/>
        <w:gridCol w:w="2337"/>
      </w:tblGrid>
      <w:tr>
        <w:trPr/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Jméno a příjmení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B. N.</w:t>
            </w:r>
          </w:p>
        </w:tc>
        <w:tc>
          <w:tcPr>
            <w:tcW w:w="19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Věk</w:t>
            </w:r>
          </w:p>
        </w:tc>
        <w:tc>
          <w:tcPr>
            <w:tcW w:w="23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83 let</w:t>
            </w:r>
          </w:p>
        </w:tc>
      </w:tr>
      <w:tr>
        <w:trPr/>
        <w:tc>
          <w:tcPr>
            <w:tcW w:w="25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Bydliště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Praha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Vzdělání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základní</w:t>
            </w:r>
          </w:p>
        </w:tc>
      </w:tr>
      <w:tr>
        <w:trPr/>
        <w:tc>
          <w:tcPr>
            <w:tcW w:w="25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Stav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vdaná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Oddělení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interní</w:t>
            </w:r>
          </w:p>
        </w:tc>
      </w:tr>
      <w:tr>
        <w:trPr/>
        <w:tc>
          <w:tcPr>
            <w:tcW w:w="25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Datum přijetí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10. 10. 2014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Den pobytu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1.</w:t>
            </w:r>
          </w:p>
        </w:tc>
      </w:tr>
      <w:tr>
        <w:trPr/>
        <w:tc>
          <w:tcPr>
            <w:tcW w:w="25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Sběr informací dne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10. 10. 2014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</w:tbl>
    <w:p>
      <w:pPr>
        <w:pStyle w:val="Nadpis1"/>
        <w:rPr>
          <w:rFonts w:cs="Arial"/>
          <w:b w:val="false"/>
          <w:b w:val="false"/>
          <w:szCs w:val="24"/>
        </w:rPr>
      </w:pPr>
      <w:r>
        <w:rPr>
          <w:rFonts w:cs="Arial"/>
          <w:b w:val="false"/>
          <w:szCs w:val="24"/>
        </w:rPr>
      </w:r>
    </w:p>
    <w:p>
      <w:pPr>
        <w:pStyle w:val="Nadpis1"/>
        <w:ind w:left="142" w:hanging="0"/>
        <w:rPr>
          <w:rFonts w:cs="Arial"/>
          <w:color w:val="0000FF"/>
          <w:szCs w:val="24"/>
        </w:rPr>
      </w:pPr>
      <w:r>
        <w:rPr>
          <w:rFonts w:cs="Arial"/>
          <w:color w:val="0000FF"/>
          <w:szCs w:val="24"/>
        </w:rPr>
        <w:t>Důvod přijetí:</w:t>
      </w:r>
    </w:p>
    <w:tbl>
      <w:tblPr>
        <w:tblW w:w="8975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8975"/>
      </w:tblGrid>
      <w:tr>
        <w:trPr>
          <w:trHeight w:val="665" w:hRule="atLeast"/>
          <w:cantSplit w:val="true"/>
        </w:trPr>
        <w:tc>
          <w:tcPr>
            <w:tcW w:w="8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spacing w:lineRule="atLeast" w:line="315"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Pacientka byla přijata na interní oddělení pro dekompenzovaný diabetes mellitus 2. typu na PAD.</w:t>
            </w:r>
          </w:p>
        </w:tc>
      </w:tr>
    </w:tbl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W w:w="900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259"/>
        <w:gridCol w:w="5740"/>
      </w:tblGrid>
      <w:tr>
        <w:trPr/>
        <w:tc>
          <w:tcPr>
            <w:tcW w:w="32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Rodinná anamnéza</w:t>
            </w:r>
          </w:p>
        </w:tc>
        <w:tc>
          <w:tcPr>
            <w:tcW w:w="57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Rodiče zemřeli stářím, sestra arteriální hypertenze, 2 děti zdrávy.</w:t>
            </w:r>
          </w:p>
        </w:tc>
      </w:tr>
      <w:tr>
        <w:trPr/>
        <w:tc>
          <w:tcPr>
            <w:tcW w:w="32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Osobní anamnéza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2800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V dětství běžná onemocnění, očkování řádně. Dále DM, ICHS, chronická renální insuficience, hyperlipoproteinemie.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800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Úrazy: 0, Transfúze: 0, Operace: 0</w:t>
            </w:r>
          </w:p>
        </w:tc>
      </w:tr>
      <w:tr>
        <w:trPr/>
        <w:tc>
          <w:tcPr>
            <w:tcW w:w="32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Gynekologická anamnéza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2800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Po menopauze, porody 2 spontánně, poslední gynekologické vyšetření před 10 lety, bez obtíží</w:t>
            </w:r>
          </w:p>
        </w:tc>
      </w:tr>
      <w:tr>
        <w:trPr/>
        <w:tc>
          <w:tcPr>
            <w:tcW w:w="32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Alergologická anamnéza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Neguje.</w:t>
            </w:r>
          </w:p>
        </w:tc>
      </w:tr>
      <w:tr>
        <w:trPr/>
        <w:tc>
          <w:tcPr>
            <w:tcW w:w="32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Abúzy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Neguje.</w:t>
            </w:r>
          </w:p>
        </w:tc>
      </w:tr>
      <w:tr>
        <w:trPr/>
        <w:tc>
          <w:tcPr>
            <w:tcW w:w="32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Sociální anamnéza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Žije s manželem v bytě</w:t>
            </w:r>
          </w:p>
        </w:tc>
      </w:tr>
      <w:tr>
        <w:trPr/>
        <w:tc>
          <w:tcPr>
            <w:tcW w:w="32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Pracovní anamnéza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Starobní důchodkyně, dříve dělnice</w:t>
            </w:r>
          </w:p>
        </w:tc>
      </w:tr>
      <w:tr>
        <w:trPr/>
        <w:tc>
          <w:tcPr>
            <w:tcW w:w="32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Spirituální anamnéza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Ateistka</w:t>
            </w:r>
          </w:p>
        </w:tc>
      </w:tr>
    </w:tbl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left="142" w:hanging="0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  <w:t>Léková anamnéza – chronická:</w:t>
      </w:r>
    </w:p>
    <w:tbl>
      <w:tblPr>
        <w:tblW w:w="89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570"/>
        <w:gridCol w:w="1794"/>
        <w:gridCol w:w="1794"/>
        <w:gridCol w:w="1817"/>
        <w:gridCol w:w="1955"/>
      </w:tblGrid>
      <w:tr>
        <w:trPr/>
        <w:tc>
          <w:tcPr>
            <w:tcW w:w="1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</w:rPr>
              <w:t>Název léku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</w:rPr>
              <w:t>Forma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</w:rPr>
              <w:t>Síla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</w:rPr>
              <w:t>Dávkování</w:t>
            </w:r>
          </w:p>
        </w:tc>
        <w:tc>
          <w:tcPr>
            <w:tcW w:w="195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</w:rPr>
              <w:t>Skupina</w:t>
            </w:r>
          </w:p>
        </w:tc>
      </w:tr>
      <w:tr>
        <w:trPr/>
        <w:tc>
          <w:tcPr>
            <w:tcW w:w="1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Anopyrin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tablety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100 mg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0-0-1</w:t>
            </w:r>
          </w:p>
        </w:tc>
        <w:tc>
          <w:tcPr>
            <w:tcW w:w="195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</w:r>
          </w:p>
        </w:tc>
      </w:tr>
      <w:tr>
        <w:trPr/>
        <w:tc>
          <w:tcPr>
            <w:tcW w:w="1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Presid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tablety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5 mg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0-0-1</w:t>
            </w:r>
          </w:p>
        </w:tc>
        <w:tc>
          <w:tcPr>
            <w:tcW w:w="195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</w:r>
          </w:p>
        </w:tc>
      </w:tr>
      <w:tr>
        <w:trPr/>
        <w:tc>
          <w:tcPr>
            <w:tcW w:w="1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Concor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tablety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5 mg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0-0-1</w:t>
            </w:r>
          </w:p>
        </w:tc>
        <w:tc>
          <w:tcPr>
            <w:tcW w:w="195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</w:r>
          </w:p>
        </w:tc>
      </w:tr>
      <w:tr>
        <w:trPr/>
        <w:tc>
          <w:tcPr>
            <w:tcW w:w="1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Siofor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tablety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500 mg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0-1-1</w:t>
            </w:r>
          </w:p>
        </w:tc>
        <w:tc>
          <w:tcPr>
            <w:tcW w:w="195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</w:r>
          </w:p>
        </w:tc>
      </w:tr>
      <w:tr>
        <w:trPr/>
        <w:tc>
          <w:tcPr>
            <w:tcW w:w="1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Furosemid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tablety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40 mg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0-0-1</w:t>
            </w:r>
          </w:p>
        </w:tc>
        <w:tc>
          <w:tcPr>
            <w:tcW w:w="195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</w:r>
          </w:p>
        </w:tc>
      </w:tr>
      <w:tr>
        <w:trPr/>
        <w:tc>
          <w:tcPr>
            <w:tcW w:w="1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Verospiron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tablety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25 mg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0-0-1</w:t>
            </w:r>
          </w:p>
        </w:tc>
        <w:tc>
          <w:tcPr>
            <w:tcW w:w="195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</w:r>
          </w:p>
        </w:tc>
      </w:tr>
      <w:tr>
        <w:trPr/>
        <w:tc>
          <w:tcPr>
            <w:tcW w:w="1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Torvacard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tablety</w:t>
            </w:r>
          </w:p>
        </w:tc>
        <w:tc>
          <w:tcPr>
            <w:tcW w:w="17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40 mg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0-1-0</w:t>
            </w:r>
          </w:p>
        </w:tc>
        <w:tc>
          <w:tcPr>
            <w:tcW w:w="195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Default"/>
              <w:widowControl w:val="false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</w:r>
          </w:p>
        </w:tc>
      </w:tr>
    </w:tbl>
    <w:p>
      <w:pPr>
        <w:pStyle w:val="Normal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</w:r>
    </w:p>
    <w:p>
      <w:pPr>
        <w:pStyle w:val="Normal"/>
        <w:ind w:left="142" w:hanging="0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  <w:t>Lékařská diagnóza:</w:t>
      </w:r>
    </w:p>
    <w:tbl>
      <w:tblPr>
        <w:tblW w:w="900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9000"/>
      </w:tblGrid>
      <w:tr>
        <w:trPr/>
        <w:tc>
          <w:tcPr>
            <w:tcW w:w="90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Městnavé srdeční selhání</w:t>
            </w:r>
          </w:p>
        </w:tc>
      </w:tr>
      <w:tr>
        <w:trPr/>
        <w:tc>
          <w:tcPr>
            <w:tcW w:w="90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Chronická renální insuficience</w:t>
            </w:r>
          </w:p>
        </w:tc>
      </w:tr>
      <w:tr>
        <w:trPr/>
        <w:tc>
          <w:tcPr>
            <w:tcW w:w="90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ICHS</w:t>
            </w:r>
          </w:p>
        </w:tc>
      </w:tr>
      <w:tr>
        <w:trPr/>
        <w:tc>
          <w:tcPr>
            <w:tcW w:w="90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Diabetes mellitus 2. typu</w:t>
            </w:r>
          </w:p>
        </w:tc>
      </w:tr>
      <w:tr>
        <w:trPr/>
        <w:tc>
          <w:tcPr>
            <w:tcW w:w="90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Hyperlipoproteinemie</w:t>
            </w:r>
          </w:p>
        </w:tc>
      </w:tr>
    </w:tbl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adpis1"/>
        <w:ind w:left="142" w:hanging="0"/>
        <w:rPr>
          <w:rFonts w:cs="Arial"/>
          <w:color w:val="0000FF"/>
          <w:szCs w:val="24"/>
        </w:rPr>
      </w:pPr>
      <w:r>
        <w:rPr>
          <w:rFonts w:cs="Arial"/>
          <w:color w:val="0000FF"/>
          <w:szCs w:val="24"/>
        </w:rPr>
        <w:t>Diagnostické údaje:</w:t>
      </w:r>
    </w:p>
    <w:tbl>
      <w:tblPr>
        <w:tblW w:w="900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259"/>
        <w:gridCol w:w="5740"/>
      </w:tblGrid>
      <w:tr>
        <w:trPr/>
        <w:tc>
          <w:tcPr>
            <w:tcW w:w="32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Ordinovaná vyšetření</w:t>
            </w:r>
          </w:p>
        </w:tc>
        <w:tc>
          <w:tcPr>
            <w:tcW w:w="57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FFFFFF" w:val="pct5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Hodnocení</w:t>
            </w:r>
          </w:p>
        </w:tc>
      </w:tr>
      <w:tr>
        <w:trPr/>
        <w:tc>
          <w:tcPr>
            <w:tcW w:w="325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Interní vyšetření</w:t>
            </w:r>
          </w:p>
        </w:tc>
        <w:tc>
          <w:tcPr>
            <w:tcW w:w="574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Probíhá EKG, RTG srdce a plic, ECHO, diabetologické konzilium</w:t>
            </w:r>
          </w:p>
        </w:tc>
      </w:tr>
      <w:tr>
        <w:trPr/>
        <w:tc>
          <w:tcPr>
            <w:tcW w:w="32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Vyšetření laboratorní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F2F2F2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Hodnocení</w:t>
            </w:r>
          </w:p>
        </w:tc>
      </w:tr>
      <w:tr>
        <w:trPr/>
        <w:tc>
          <w:tcPr>
            <w:tcW w:w="32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Krev, moč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Probíhá vyšetření krve (biochemické, hematologické, koagulace) a moče (biochemické, mikrobiologické),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glykémie 4x denně</w:t>
            </w:r>
          </w:p>
        </w:tc>
      </w:tr>
    </w:tbl>
    <w:p>
      <w:pPr>
        <w:pStyle w:val="Normal"/>
        <w:ind w:left="142" w:hanging="0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</w:r>
    </w:p>
    <w:p>
      <w:pPr>
        <w:pStyle w:val="Normal"/>
        <w:ind w:left="142" w:hanging="0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  <w:t>Terapie:</w:t>
      </w:r>
    </w:p>
    <w:tbl>
      <w:tblPr>
        <w:tblW w:w="8998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693"/>
        <w:gridCol w:w="6304"/>
      </w:tblGrid>
      <w:tr>
        <w:trPr/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Konzervativní léčba</w:t>
            </w:r>
          </w:p>
        </w:tc>
        <w:tc>
          <w:tcPr>
            <w:tcW w:w="63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Zhlav"/>
              <w:widowControl w:val="false"/>
              <w:tabs>
                <w:tab w:val="clear" w:pos="4536"/>
                <w:tab w:val="clear" w:pos="9072"/>
                <w:tab w:val="left" w:pos="2765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Dietoterapie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9 diabetická</w:t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Pohybový režim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klidový na lůžku, smí na WC</w:t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Medikamentózní léčba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per os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Anopyrin 100 mg tbl. 0-0-1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Plavix 75 mg tbl. 0-0-1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Gopten 2 mg cps. 0-0-1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Presid 5 mg tbl. 0-0-1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Concor 5 mg tbl. 0-0-1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Torvacard 40 mg tbl. 0-1-0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Furosemid forte 250 mg tbl. 0-0-1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Verospiron 25 mg tbl. 0-0-1</w:t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s. c.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HMR s. c. dle glykémií</w:t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i. v.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F1/1 500 ml i. v. (rychl.100 ml/hod.)</w:t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000000" w:fill="FFFFFF" w:val="pct5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Lokální léčba/převaz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péče o PŽK</w:t>
            </w:r>
          </w:p>
        </w:tc>
      </w:tr>
    </w:tbl>
    <w:p>
      <w:pPr>
        <w:pStyle w:val="Nadpis1"/>
        <w:ind w:left="142" w:hanging="0"/>
        <w:rPr>
          <w:rFonts w:cs="Arial"/>
          <w:color w:val="0000FF"/>
          <w:szCs w:val="24"/>
        </w:rPr>
      </w:pPr>
      <w:r>
        <w:rPr>
          <w:rFonts w:cs="Arial"/>
          <w:color w:val="0000FF"/>
          <w:szCs w:val="24"/>
        </w:rPr>
      </w:r>
    </w:p>
    <w:p>
      <w:pPr>
        <w:pStyle w:val="Nadpis1"/>
        <w:ind w:left="142" w:hanging="0"/>
        <w:rPr>
          <w:rFonts w:cs="Arial"/>
          <w:szCs w:val="24"/>
        </w:rPr>
      </w:pPr>
      <w:r>
        <w:rPr>
          <w:rFonts w:cs="Arial"/>
          <w:color w:val="0000FF"/>
          <w:szCs w:val="24"/>
        </w:rPr>
        <w:t>Zhodnocení pacienta dle modelu GORDON 1. den hospitalizace:</w:t>
      </w:r>
    </w:p>
    <w:tbl>
      <w:tblPr>
        <w:tblW w:w="900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51"/>
        <w:gridCol w:w="3261"/>
        <w:gridCol w:w="5188"/>
      </w:tblGrid>
      <w:tr>
        <w:trPr>
          <w:trHeight w:val="300" w:hRule="atLeast"/>
        </w:trPr>
        <w:tc>
          <w:tcPr>
            <w:tcW w:w="5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1.</w:t>
            </w:r>
          </w:p>
        </w:tc>
        <w:tc>
          <w:tcPr>
            <w:tcW w:w="32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Podpora zdraví</w:t>
            </w:r>
          </w:p>
        </w:tc>
        <w:tc>
          <w:tcPr>
            <w:tcW w:w="51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Pacientka hodnotí svůj zdravotní stav jako dobrý, snaží se dodržovat doporučení lékaře.</w:t>
            </w:r>
          </w:p>
          <w:p>
            <w:pPr>
              <w:pStyle w:val="Normal"/>
              <w:widowControl w:val="false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DM má 5 let. V posledním roce pacientka neprodělala žádný úraz. Pacientka se domnívá, že současný stav je způsoben nedostatečným účinkem léků (PAD). Po dobu pobytu v nemocnici by pacientka chtěla dosáhnout kompenzace svého onemocnění.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Výživa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Pacientka dodržuje diabetickou dietu a snaží se pravidelně jíst, v přiměřených dávkách.</w:t>
            </w:r>
          </w:p>
          <w:p>
            <w:pPr>
              <w:pStyle w:val="Normal"/>
              <w:widowControl w:val="false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Preferuje zeleninu a lehká jídla, z příloh brambory a těstoviny. Alkohol nepije a nekouří.</w:t>
            </w:r>
          </w:p>
          <w:p>
            <w:pPr>
              <w:pStyle w:val="Normal"/>
              <w:widowControl w:val="false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V poslední době nepozoruje zvýšení ani úbytek na váze. Denní příjem tekutin pacientky se</w:t>
            </w:r>
          </w:p>
          <w:p>
            <w:pPr>
              <w:pStyle w:val="Normal"/>
              <w:widowControl w:val="false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pohybuje kolem 2 l, nejraději pije minerální vody. BMI pacientky je 25 – normální váha.</w:t>
            </w:r>
          </w:p>
          <w:p>
            <w:pPr>
              <w:pStyle w:val="Normal"/>
              <w:widowControl w:val="false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Kožní turgor v normě, bez defektů a bez dekubitů. Pacientka má úplnou zubní protézu, k zubnímu lékaři dochází pravidelně.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3.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Vylučování a výměna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Pacientka má stolici barvy fyziologické, bez příměsí, normální konzistence. Frekvence</w:t>
            </w:r>
          </w:p>
          <w:p>
            <w:pPr>
              <w:pStyle w:val="Normal"/>
              <w:widowControl w:val="false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vyprazdňování je jednou za den, většinou ráno. Projímadla neužívá.</w:t>
            </w:r>
          </w:p>
          <w:p>
            <w:pPr>
              <w:pStyle w:val="Normal"/>
              <w:widowControl w:val="false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S močením pacientka také nemá potíže, příměsi nepozoruje, barva je fyziologická. Diuréza je 1500 ml.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4.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Aktivita, odpočinek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Pacientka svůj volný čas tráví doma, nejčastěji čtením knihy nebo sledováním televize,</w:t>
            </w:r>
          </w:p>
          <w:p>
            <w:pPr>
              <w:pStyle w:val="Normal"/>
              <w:widowControl w:val="false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posloucháním rádia. Provádí běžné domácí práce, její zálibou je vaření.</w:t>
            </w:r>
          </w:p>
          <w:p>
            <w:pPr>
              <w:pStyle w:val="Normal"/>
              <w:widowControl w:val="false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Pacientka je plně soběstačná, nezávislá na pomoci ostatních ve všech aktivitách – schopnost najíst se, umýt se, vykoupat se, upravit se, dojít si na toaletu, obléci se, pohybovat se. Pacientka spí asi 7 hodin denně, po probuzení se cítí odpočatá, nemá problémy se spaním. Léky na spaní neužívá. Před spaním si čte, nebo poslouchá rádio.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5.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Vnímání, poznání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Pacientka slyší dobře, nosí </w:t>
            </w: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 xml:space="preserve">brýle na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č</w:t>
            </w: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tení a na dálku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. S pamětí ani s rozhodováním nemá výraznější problémy. Pacientce nedělá problémy učením nových věcí. Pacientka byla informována lékařem o svém zdravotním stavu. Požaduje další rozhovor s lékařem, udává </w:t>
            </w: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nedostate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č</w:t>
            </w: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nou informovanost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.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6.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Vnímání sebe sama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Pacientka zvládá situace společně s manželem, nebo sama, důvěřuje si. Napětí ani hněv nepociťuje. Udává ale nejistotu a </w:t>
            </w: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obavy z vývoje onemocn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ě</w:t>
            </w: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ní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.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7.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Vztahy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Pacientka žije s manželem, vztahy v rodině dobré.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8.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Sexualita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Neguje.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9.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Zvládání zátěže, odolnost vůči stresu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V posledních dvou letech se u pacientky nevyskytla tak závažná situace, kterou by považovala za kritickou. Pokud se vyskytne nějaký problém, největší oporou je pro pacientku manžel a děti, ve které vkládá důvěru.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10.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Životní princip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Pacientka je ateistka.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11.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Bezpečnost, ochrana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Pacientka má zavedený </w:t>
            </w: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 xml:space="preserve">periferní žilní katétr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v pravé horní končetině, je </w:t>
            </w: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ohrožena pádem (2 body)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. Alergie neudává, námahou dušná.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12.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pct5"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Komfort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Pacientka nemá polohové potíže a bolesti neudává.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000000" w:fill="FFFFFF" w:val="pct5"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13.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000000" w:fill="FFFFFF" w:val="pct5"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Růst, vývoj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Pacientka bez zdravotního handicapu.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  <w:r>
        <w:br w:type="page"/>
      </w:r>
    </w:p>
    <w:p>
      <w:pPr>
        <w:pStyle w:val="Normal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  <w:u w:val="single"/>
        </w:rPr>
        <w:t>ZADÁNÍ PRO STUDENTY: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  <w:t>Stručně charakterizujte diabetes mellitus II. typu, včetně klinického obrazu.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  <w:t>Stanovte ošetřovatelské problémy 1. den hospitalizace v rámci holistické filosofie.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  <w:t>Stanovte ošetřovatelské diagnózy dle NANDA International 2012-2014 Taxonomie II a uspořádejte je podle priorit.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  <w:t>U všech zvolených diagnóz zapište určující znaky a související faktory nebo rizikové faktory.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  <w:t>Navrhněte cíle, očekávané výsledky a ošetřovatelské intervence.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  <w:t>K navrženým ošetřovatelským intervencím proveďte kritickou analýzu.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  <w:t>Vyhledejte odbornou literaturu k danému tématu ne starší 5 let včetně zahraniční.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  <w:t xml:space="preserve">U medikamentózní léčby určete skupinu léku a znalosti sestry, které potřebuje znát k bezpečnému podání léku. 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  <w:t>Popište zásady při odběru krve na glykémii.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  <w:t>Navrhněte, v čem byste pacientku edukovali?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  <w:t>Proveďte diskusi k dané problematice.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  <w:t>Navrhněte doporučení pro praxi.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Arial" w:hAnsi="Arial" w:cs="Arial"/>
          <w:b/>
          <w:b/>
          <w:color w:val="0000FF"/>
          <w:sz w:val="24"/>
          <w:szCs w:val="24"/>
        </w:rPr>
      </w:pPr>
      <w:r>
        <w:rPr>
          <w:rFonts w:cs="Arial" w:ascii="Arial" w:hAnsi="Arial"/>
          <w:b/>
          <w:color w:val="0000FF"/>
          <w:sz w:val="24"/>
          <w:szCs w:val="24"/>
        </w:rPr>
        <w:t>V závěru kazuistiky se vyjádřete k vypracované kazuistice.</w:t>
      </w:r>
    </w:p>
    <w:sectPr>
      <w:headerReference w:type="default" r:id="rId2"/>
      <w:type w:val="nextPage"/>
      <w:pgSz w:w="11906" w:h="16838"/>
      <w:pgMar w:left="1417" w:right="1417" w:header="709" w:top="1674" w:footer="0" w:bottom="1417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tabs>
        <w:tab w:val="clear" w:pos="4536"/>
        <w:tab w:val="clear" w:pos="9072"/>
        <w:tab w:val="left" w:pos="6420" w:leader="none"/>
      </w:tabs>
      <w:rPr>
        <w:i/>
        <w:i/>
        <w:color w:val="808080"/>
        <w:sz w:val="24"/>
        <w:szCs w:val="24"/>
      </w:rPr>
    </w:pPr>
    <w: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column">
                <wp:posOffset>33020</wp:posOffset>
              </wp:positionH>
              <wp:positionV relativeFrom="paragraph">
                <wp:posOffset>-316865</wp:posOffset>
              </wp:positionV>
              <wp:extent cx="753110" cy="758825"/>
              <wp:effectExtent l="0" t="0" r="0" b="0"/>
              <wp:wrapNone/>
              <wp:docPr id="1" name="Obrázek 6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ázek 6" descr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2400" cy="758160"/>
                      </a:xfrm>
                      <a:prstGeom prst="rect">
                        <a:avLst/>
                      </a:prstGeom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Obrázek 6" stroked="f" style="position:absolute;margin-left:2.6pt;margin-top:-24.95pt;width:59.2pt;height:59.65pt;v-text-anchor:middle" type="shapetype_75">
              <v:imagedata r:id="rId1" o:detectmouseclick="t"/>
              <w10:wrap type="none"/>
              <v:stroke color="#3465a4" joinstyle="round" endcap="flat"/>
            </v:shap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">
              <wp:simplePos x="0" y="0"/>
              <wp:positionH relativeFrom="column">
                <wp:posOffset>4309110</wp:posOffset>
              </wp:positionH>
              <wp:positionV relativeFrom="paragraph">
                <wp:posOffset>-292100</wp:posOffset>
              </wp:positionV>
              <wp:extent cx="1629410" cy="734060"/>
              <wp:effectExtent l="0" t="0" r="0" b="0"/>
              <wp:wrapNone/>
              <wp:docPr id="2" name="Obrázek 5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Obrázek 5" descr=""/>
                      <pic:cNvPicPr/>
                    </pic:nvPicPr>
                    <pic:blipFill>
                      <a:blip r:embed="rId2"/>
                      <a:stretch/>
                    </pic:blipFill>
                    <pic:spPr>
                      <a:xfrm>
                        <a:off x="0" y="0"/>
                        <a:ext cx="1628640" cy="733320"/>
                      </a:xfrm>
                      <a:prstGeom prst="rect">
                        <a:avLst/>
                      </a:prstGeom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 id="shape_0" ID="Obrázek 5" stroked="f" style="position:absolute;margin-left:339.3pt;margin-top:-23pt;width:128.2pt;height:57.7pt;v-text-anchor:middle" type="shapetype_75">
              <v:imagedata r:id="rId2" o:detectmouseclick="t"/>
              <w10:wrap type="none"/>
              <v:stroke color="#3465a4" joinstyle="round" endcap="flat"/>
            </v:shape>
          </w:pict>
        </mc:Fallback>
      </mc:AlternateContent>
    </w:r>
    <w:r>
      <w:rPr>
        <w:i/>
        <w:color w:val="808080"/>
        <w:sz w:val="24"/>
        <w:szCs w:val="24"/>
      </w:rPr>
      <w:t xml:space="preserve"> </w:t>
    </w:r>
    <w:r>
      <w:rPr>
        <w:i/>
        <w:color w:val="808080"/>
        <w:sz w:val="24"/>
        <w:szCs w:val="24"/>
      </w:rPr>
      <w:t xml:space="preserve">                      </w:t>
    </w:r>
    <w:r>
      <w:rPr>
        <w:i/>
        <w:color w:val="808080"/>
        <w:sz w:val="24"/>
        <w:szCs w:val="24"/>
      </w:rPr>
      <w:t>Vysoká škola zdravotnická, o. p. s.</w:t>
      <w:tab/>
    </w:r>
  </w:p>
  <w:p>
    <w:pPr>
      <w:pStyle w:val="Zhlav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compat>
    <w:compatSetting w:name="compatibilityMode" w:uri="http://schemas.microsoft.com/office/word" w:val="1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d67ab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cs-CZ" w:eastAsia="cs-CZ" w:bidi="ar-SA"/>
    </w:rPr>
  </w:style>
  <w:style w:type="paragraph" w:styleId="Nadpis1">
    <w:name w:val="Heading 1"/>
    <w:basedOn w:val="Normal"/>
    <w:next w:val="Normal"/>
    <w:link w:val="Nadpis1Char"/>
    <w:qFormat/>
    <w:rsid w:val="00d67ab0"/>
    <w:pPr>
      <w:keepNext w:val="true"/>
      <w:outlineLvl w:val="0"/>
    </w:pPr>
    <w:rPr>
      <w:rFonts w:ascii="Arial" w:hAnsi="Arial"/>
      <w:b/>
      <w:sz w:val="24"/>
    </w:rPr>
  </w:style>
  <w:style w:type="paragraph" w:styleId="Nadpis2">
    <w:name w:val="Heading 2"/>
    <w:basedOn w:val="Normal"/>
    <w:next w:val="Normal"/>
    <w:link w:val="Nadpis2Char"/>
    <w:qFormat/>
    <w:rsid w:val="00f50a60"/>
    <w:pPr>
      <w:keepNext w:val="true"/>
      <w:outlineLvl w:val="1"/>
    </w:pPr>
    <w:rPr>
      <w:b/>
      <w:bCs/>
      <w:sz w:val="28"/>
      <w:szCs w:val="24"/>
      <w:lang w:val="sk-SK"/>
    </w:rPr>
  </w:style>
  <w:style w:type="paragraph" w:styleId="Nadpis3">
    <w:name w:val="Heading 3"/>
    <w:basedOn w:val="Normal"/>
    <w:next w:val="Normal"/>
    <w:link w:val="Nadpis3Char"/>
    <w:qFormat/>
    <w:rsid w:val="00f50a60"/>
    <w:pPr>
      <w:keepNext w:val="true"/>
      <w:jc w:val="both"/>
      <w:outlineLvl w:val="2"/>
    </w:pPr>
    <w:rPr>
      <w:b/>
      <w:bCs/>
      <w:sz w:val="28"/>
      <w:szCs w:val="24"/>
      <w:lang w:val="sk-SK"/>
    </w:rPr>
  </w:style>
  <w:style w:type="character" w:styleId="DefaultParagraphFont" w:default="1">
    <w:name w:val="Default Paragraph Font"/>
    <w:semiHidden/>
    <w:qFormat/>
    <w:rPr/>
  </w:style>
  <w:style w:type="character" w:styleId="Nadpis1Char" w:customStyle="1">
    <w:name w:val="Nadpis 1 Char"/>
    <w:basedOn w:val="DefaultParagraphFont"/>
    <w:link w:val="Nadpis1"/>
    <w:qFormat/>
    <w:locked/>
    <w:rsid w:val="00d67ab0"/>
    <w:rPr>
      <w:rFonts w:ascii="Arial" w:hAnsi="Arial" w:cs="Times New Roman"/>
      <w:b/>
      <w:sz w:val="20"/>
      <w:szCs w:val="20"/>
      <w:lang w:val="x-none" w:eastAsia="cs-CZ"/>
    </w:rPr>
  </w:style>
  <w:style w:type="character" w:styleId="Nadpis2Char" w:customStyle="1">
    <w:name w:val="Nadpis 2 Char"/>
    <w:basedOn w:val="DefaultParagraphFont"/>
    <w:link w:val="Nadpis2"/>
    <w:qFormat/>
    <w:locked/>
    <w:rsid w:val="00f50a60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Nadpis3Char" w:customStyle="1">
    <w:name w:val="Nadpis 3 Char"/>
    <w:basedOn w:val="DefaultParagraphFont"/>
    <w:link w:val="Nadpis3"/>
    <w:qFormat/>
    <w:locked/>
    <w:rsid w:val="00f50a60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hlavChar" w:customStyle="1">
    <w:name w:val="Záhlaví Char"/>
    <w:basedOn w:val="DefaultParagraphFont"/>
    <w:link w:val="Zhlav"/>
    <w:semiHidden/>
    <w:qFormat/>
    <w:locked/>
    <w:rsid w:val="00d67ab0"/>
    <w:rPr>
      <w:rFonts w:ascii="Times New Roman" w:hAnsi="Times New Roman" w:cs="Times New Roman"/>
      <w:sz w:val="20"/>
      <w:szCs w:val="20"/>
      <w:lang w:val="x-none" w:eastAsia="cs-CZ"/>
    </w:rPr>
  </w:style>
  <w:style w:type="character" w:styleId="ZpatChar" w:customStyle="1">
    <w:name w:val="Zápatí Char"/>
    <w:basedOn w:val="DefaultParagraphFont"/>
    <w:link w:val="Zpat"/>
    <w:qFormat/>
    <w:locked/>
    <w:rsid w:val="00a5128c"/>
    <w:rPr>
      <w:rFonts w:ascii="Times New Roman" w:hAnsi="Times New Roman" w:cs="Times New Roman"/>
      <w:sz w:val="20"/>
      <w:szCs w:val="20"/>
      <w:lang w:val="x-none" w:eastAsia="cs-CZ"/>
    </w:rPr>
  </w:style>
  <w:style w:type="character" w:styleId="ZkladntextChar" w:customStyle="1">
    <w:name w:val="Základní text Char"/>
    <w:basedOn w:val="DefaultParagraphFont"/>
    <w:link w:val="Zkladntext"/>
    <w:semiHidden/>
    <w:qFormat/>
    <w:locked/>
    <w:rsid w:val="00905a95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Internetovodkaz">
    <w:name w:val="Internetový odkaz"/>
    <w:basedOn w:val="DefaultParagraphFont"/>
    <w:rsid w:val="00a53d86"/>
    <w:rPr>
      <w:rFonts w:cs="Times New Roman"/>
      <w:color w:val="0000FF"/>
      <w:u w:val="single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semiHidden/>
    <w:rsid w:val="00905a95"/>
    <w:pPr/>
    <w:rPr>
      <w:b/>
      <w:bCs/>
      <w:sz w:val="24"/>
      <w:szCs w:val="24"/>
      <w:lang w:val="sk-SK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semiHidden/>
    <w:rsid w:val="00d67ab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link w:val="ZpatChar"/>
    <w:rsid w:val="00a5128c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 w:customStyle="1">
    <w:name w:val="List Paragraph"/>
    <w:basedOn w:val="Normal"/>
    <w:qFormat/>
    <w:rsid w:val="00023fad"/>
    <w:pPr>
      <w:ind w:left="720" w:hanging="0"/>
    </w:pPr>
    <w:rPr/>
  </w:style>
  <w:style w:type="paragraph" w:styleId="Default" w:customStyle="1">
    <w:name w:val="Default"/>
    <w:qFormat/>
    <w:rsid w:val="004e4d49"/>
    <w:pPr>
      <w:widowControl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cs-CZ" w:eastAsia="cs-CZ" w:bidi="ar-SA"/>
    </w:rPr>
  </w:style>
  <w:style w:type="numbering" w:styleId="NoList" w:default="1">
    <w:name w:val="No List"/>
    <w:semiHidden/>
    <w:qFormat/>
  </w:style>
  <w:style w:type="table" w:default="1" w:styleId="Normlntabulka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rsid w:val="00f141cf"/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E2565CA14E064D864C6194FB362A9A" ma:contentTypeVersion="0" ma:contentTypeDescription="Vytvoří nový dokument" ma:contentTypeScope="" ma:versionID="3b5539bb282170f057766f7fbe8034e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E4AFF6-2C43-42C3-B0E8-121ED9BFFC53}"/>
</file>

<file path=customXml/itemProps2.xml><?xml version="1.0" encoding="utf-8"?>
<ds:datastoreItem xmlns:ds="http://schemas.openxmlformats.org/officeDocument/2006/customXml" ds:itemID="{C6A99EBF-66E0-483C-AC5F-5E95EE1762E0}"/>
</file>

<file path=customXml/itemProps3.xml><?xml version="1.0" encoding="utf-8"?>
<ds:datastoreItem xmlns:ds="http://schemas.openxmlformats.org/officeDocument/2006/customXml" ds:itemID="{11BBFF7D-CD14-4A05-97CD-DC034C3B88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LibreOffice/7.0.1.2$Windows_X86_64 LibreOffice_project/7cbcfc562f6eb6708b5ff7d7397325de9e764452</Application>
  <Pages>6</Pages>
  <Words>1058</Words>
  <Characters>6239</Characters>
  <CharactersWithSpaces>7115</CharactersWithSpaces>
  <Paragraphs>193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2015-04-14T09:14:00Z</dcterms:created>
  <dc:creator>VSZDRAV</dc:creator>
  <dc:description/>
  <dc:language>cs-CZ</dc:language>
  <cp:lastModifiedBy>Němcová Jitka</cp:lastModifiedBy>
  <cp:lastPrinted>2014-06-26T10:32:00Z</cp:lastPrinted>
  <dcterms:modified xsi:type="dcterms:W3CDTF">2015-04-14T09:14:00Z</dcterms:modified>
  <cp:revision>2</cp:revision>
  <dc:subject/>
  <dc:title>KAZUISTIKA – Pacientka s dekompenzovaným diabetem mellitem II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ContentTypeId">
    <vt:lpwstr>0x0101003FE2565CA14E064D864C6194FB362A9A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inksUpToDate">
    <vt:bool>0</vt:bool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