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left="567" w:hanging="0"/>
        <w:jc w:val="center"/>
        <w:rPr>
          <w:rFonts w:ascii="Arial" w:hAnsi="Arial" w:cs="Arial"/>
          <w:b/>
          <w:b/>
          <w:color w:val="0000FF"/>
          <w:sz w:val="28"/>
          <w:szCs w:val="28"/>
        </w:rPr>
      </w:pPr>
      <w:r>
        <w:rPr>
          <w:rFonts w:cs="Arial" w:ascii="Arial" w:hAnsi="Arial"/>
          <w:b/>
          <w:caps/>
          <w:color w:val="0000FF"/>
          <w:sz w:val="28"/>
          <w:szCs w:val="28"/>
        </w:rPr>
        <w:t>Kazuistika</w:t>
      </w:r>
      <w:r>
        <w:rPr>
          <w:rFonts w:cs="Arial" w:ascii="Arial" w:hAnsi="Arial"/>
          <w:b/>
          <w:color w:val="0000FF"/>
          <w:sz w:val="28"/>
          <w:szCs w:val="28"/>
        </w:rPr>
        <w:t xml:space="preserve"> – Pacient s ischemickou gangrénou dolní</w:t>
      </w:r>
    </w:p>
    <w:p>
      <w:pPr>
        <w:pStyle w:val="Normal"/>
        <w:spacing w:lineRule="auto" w:line="360"/>
        <w:ind w:left="567" w:hanging="0"/>
        <w:jc w:val="center"/>
        <w:rPr>
          <w:rFonts w:ascii="Arial" w:hAnsi="Arial" w:cs="Arial"/>
          <w:b/>
          <w:b/>
          <w:color w:val="0000FF"/>
          <w:sz w:val="28"/>
          <w:szCs w:val="28"/>
        </w:rPr>
      </w:pPr>
      <w:r>
        <w:rPr>
          <w:rFonts w:cs="Arial" w:ascii="Arial" w:hAnsi="Arial"/>
          <w:b/>
          <w:color w:val="0000FF"/>
          <w:sz w:val="28"/>
          <w:szCs w:val="28"/>
        </w:rPr>
        <w:t>končetiny</w:t>
      </w:r>
    </w:p>
    <w:p>
      <w:pPr>
        <w:pStyle w:val="Nadpis1"/>
        <w:ind w:left="142" w:hanging="0"/>
        <w:rPr>
          <w:rFonts w:cs="Arial"/>
          <w:color w:val="0000FF"/>
          <w:szCs w:val="24"/>
        </w:rPr>
      </w:pPr>
      <w:r>
        <w:rPr>
          <w:rFonts w:cs="Arial"/>
          <w:color w:val="0000FF"/>
          <w:szCs w:val="24"/>
        </w:rPr>
      </w:r>
    </w:p>
    <w:p>
      <w:pPr>
        <w:pStyle w:val="Nadpis1"/>
        <w:ind w:left="142" w:hanging="0"/>
        <w:rPr>
          <w:rFonts w:cs="Arial"/>
          <w:color w:val="0000FF"/>
          <w:szCs w:val="24"/>
        </w:rPr>
      </w:pPr>
      <w:r>
        <w:rPr>
          <w:rFonts w:cs="Arial"/>
          <w:color w:val="0000FF"/>
          <w:szCs w:val="24"/>
        </w:rPr>
        <w:t>Identifikační údaje</w:t>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2553"/>
        <w:gridCol w:w="2126"/>
        <w:gridCol w:w="1982"/>
        <w:gridCol w:w="2338"/>
      </w:tblGrid>
      <w:tr>
        <w:trPr/>
        <w:tc>
          <w:tcPr>
            <w:tcW w:w="2553" w:type="dxa"/>
            <w:tcBorders>
              <w:top w:val="single" w:sz="12"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Jméno a příjmení</w:t>
            </w:r>
          </w:p>
        </w:tc>
        <w:tc>
          <w:tcPr>
            <w:tcW w:w="2126" w:type="dxa"/>
            <w:tcBorders>
              <w:top w:val="single" w:sz="12"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t>X. Y.</w:t>
            </w:r>
          </w:p>
        </w:tc>
        <w:tc>
          <w:tcPr>
            <w:tcW w:w="1982" w:type="dxa"/>
            <w:tcBorders>
              <w:top w:val="single" w:sz="12"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Věk</w:t>
            </w:r>
          </w:p>
        </w:tc>
        <w:tc>
          <w:tcPr>
            <w:tcW w:w="2338" w:type="dxa"/>
            <w:tcBorders>
              <w:top w:val="single" w:sz="12"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85 let</w:t>
            </w:r>
          </w:p>
        </w:tc>
      </w:tr>
      <w:tr>
        <w:trPr/>
        <w:tc>
          <w:tcPr>
            <w:tcW w:w="255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Bydliště</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t>Praha 4</w:t>
            </w:r>
          </w:p>
        </w:tc>
        <w:tc>
          <w:tcPr>
            <w:tcW w:w="1982"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Vzdělání</w:t>
            </w:r>
          </w:p>
        </w:tc>
        <w:tc>
          <w:tcPr>
            <w:tcW w:w="2338"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střední</w:t>
            </w:r>
          </w:p>
        </w:tc>
      </w:tr>
      <w:tr>
        <w:trPr/>
        <w:tc>
          <w:tcPr>
            <w:tcW w:w="255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Stav</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t>vdova</w:t>
            </w:r>
          </w:p>
        </w:tc>
        <w:tc>
          <w:tcPr>
            <w:tcW w:w="1982"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Oddělení</w:t>
            </w:r>
          </w:p>
        </w:tc>
        <w:tc>
          <w:tcPr>
            <w:tcW w:w="2338"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chirurgické</w:t>
            </w:r>
          </w:p>
        </w:tc>
      </w:tr>
      <w:tr>
        <w:trPr/>
        <w:tc>
          <w:tcPr>
            <w:tcW w:w="255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Datum přijetí</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t>22. 11. 2013</w:t>
            </w:r>
          </w:p>
        </w:tc>
        <w:tc>
          <w:tcPr>
            <w:tcW w:w="1982"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Den pobytu</w:t>
            </w:r>
          </w:p>
        </w:tc>
        <w:tc>
          <w:tcPr>
            <w:tcW w:w="2338"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4.</w:t>
            </w:r>
          </w:p>
        </w:tc>
      </w:tr>
      <w:tr>
        <w:trPr/>
        <w:tc>
          <w:tcPr>
            <w:tcW w:w="2553" w:type="dxa"/>
            <w:tcBorders>
              <w:top w:val="single" w:sz="4" w:space="0" w:color="000000"/>
              <w:left w:val="single" w:sz="12" w:space="0" w:color="000000"/>
              <w:bottom w:val="single" w:sz="12"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Sběr informací dne</w:t>
            </w:r>
          </w:p>
        </w:tc>
        <w:tc>
          <w:tcPr>
            <w:tcW w:w="6446" w:type="dxa"/>
            <w:gridSpan w:val="3"/>
            <w:tcBorders>
              <w:top w:val="single" w:sz="4" w:space="0" w:color="000000"/>
              <w:left w:val="single" w:sz="4" w:space="0" w:color="000000"/>
              <w:bottom w:val="single" w:sz="12" w:space="0" w:color="000000"/>
              <w:right w:val="single" w:sz="12" w:space="0" w:color="000000"/>
            </w:tcBorders>
            <w:shd w:color="auto" w:fill="FFFFFF" w:val="clear"/>
          </w:tcPr>
          <w:p>
            <w:pPr>
              <w:pStyle w:val="Normal"/>
              <w:widowControl w:val="false"/>
              <w:rPr>
                <w:rFonts w:ascii="Arial" w:hAnsi="Arial" w:cs="Arial"/>
                <w:sz w:val="24"/>
                <w:szCs w:val="24"/>
              </w:rPr>
            </w:pPr>
            <w:r>
              <w:rPr>
                <w:rFonts w:cs="Arial" w:ascii="Arial" w:hAnsi="Arial"/>
                <w:sz w:val="24"/>
                <w:szCs w:val="24"/>
              </w:rPr>
              <w:t>26. 11. 2013</w:t>
            </w:r>
          </w:p>
        </w:tc>
      </w:tr>
    </w:tbl>
    <w:p>
      <w:pPr>
        <w:pStyle w:val="Nadpis1"/>
        <w:rPr>
          <w:rFonts w:cs="Arial"/>
          <w:b w:val="false"/>
          <w:b w:val="false"/>
          <w:szCs w:val="24"/>
        </w:rPr>
      </w:pPr>
      <w:r>
        <w:rPr>
          <w:rFonts w:cs="Arial"/>
          <w:b w:val="false"/>
          <w:szCs w:val="24"/>
        </w:rPr>
      </w:r>
    </w:p>
    <w:p>
      <w:pPr>
        <w:pStyle w:val="Nadpis1"/>
        <w:ind w:left="142" w:hanging="0"/>
        <w:rPr>
          <w:rFonts w:cs="Arial"/>
          <w:color w:val="0000FF"/>
          <w:szCs w:val="24"/>
        </w:rPr>
      </w:pPr>
      <w:r>
        <w:rPr>
          <w:rFonts w:cs="Arial"/>
          <w:color w:val="0000FF"/>
          <w:szCs w:val="24"/>
        </w:rPr>
        <w:t>Důvod přijetí</w:t>
      </w:r>
    </w:p>
    <w:tbl>
      <w:tblPr>
        <w:tblW w:w="8975"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8975"/>
      </w:tblGrid>
      <w:tr>
        <w:trPr>
          <w:trHeight w:val="665" w:hRule="atLeast"/>
          <w:cantSplit w:val="true"/>
        </w:trPr>
        <w:tc>
          <w:tcPr>
            <w:tcW w:w="8975" w:type="dxa"/>
            <w:tcBorders>
              <w:top w:val="single" w:sz="12" w:space="0" w:color="000000"/>
              <w:left w:val="single" w:sz="12" w:space="0" w:color="000000"/>
              <w:bottom w:val="single" w:sz="12"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sz w:val="24"/>
                <w:szCs w:val="24"/>
              </w:rPr>
              <w:t>Pacientka dne 30. 10. 2013 podstoupila cévní vyšetření končetinových tepen, kde bylo zjištěno, že se jedná o chronickou ischemii dolních končetin. Dne 21. 11. 2013 pacientka znovu podstoupila cévní vyšetření, kde v závěru byla vlhká gangréna v oblasti nártu a prstů při progresi kritické ischemie levé dolní končetiny. Pacientka byla 22. 11. 2013 přivezena z LDN a indikována k amputaci v bérci. Byly zjištěny další dva defekty vnitřního kotníku a na laterální straně distálního bérce, které se nehojily. Lividní zabarvení končetiny až ke kolenu. Na doporučení lékaře byla pacientka indikována k amputaci levé dolní končetiny ve stehně dle špatného stavu měkkých tkání na bérci a vysoké pravděpodobnosti nehojení pahýlu při amputaci v bérci a nutnosti reamputace. Zhodnocení pacientky bylo provedeno dne 26. 11. 2013.</w:t>
            </w:r>
          </w:p>
        </w:tc>
      </w:tr>
    </w:tbl>
    <w:p>
      <w:pPr>
        <w:pStyle w:val="Normal"/>
        <w:rPr>
          <w:rFonts w:ascii="Arial" w:hAnsi="Arial" w:cs="Arial"/>
          <w:sz w:val="24"/>
          <w:szCs w:val="24"/>
        </w:rPr>
      </w:pPr>
      <w:r>
        <w:rPr>
          <w:rFonts w:cs="Arial" w:ascii="Arial" w:hAnsi="Arial"/>
          <w:sz w:val="24"/>
          <w:szCs w:val="24"/>
        </w:rPr>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3258"/>
        <w:gridCol w:w="5741"/>
      </w:tblGrid>
      <w:tr>
        <w:trPr/>
        <w:tc>
          <w:tcPr>
            <w:tcW w:w="3258" w:type="dxa"/>
            <w:tcBorders>
              <w:top w:val="single" w:sz="12"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Rodinná anamnéza</w:t>
            </w:r>
          </w:p>
        </w:tc>
        <w:tc>
          <w:tcPr>
            <w:tcW w:w="5741" w:type="dxa"/>
            <w:tcBorders>
              <w:top w:val="single" w:sz="12"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sz w:val="24"/>
                <w:szCs w:val="24"/>
              </w:rPr>
              <w:t xml:space="preserve">Matka: </w:t>
            </w:r>
            <w:r>
              <w:rPr>
                <w:rFonts w:cs="Arial" w:ascii="Arial" w:hAnsi="Arial"/>
                <w:sz w:val="24"/>
                <w:szCs w:val="24"/>
              </w:rPr>
              <w:t>zemřela v 71 letech na cévní mozkovou příhodu, ateroskleróza</w:t>
            </w:r>
          </w:p>
          <w:p>
            <w:pPr>
              <w:pStyle w:val="Normal"/>
              <w:widowControl w:val="false"/>
              <w:rPr>
                <w:rFonts w:ascii="Arial" w:hAnsi="Arial" w:cs="Arial"/>
                <w:sz w:val="24"/>
                <w:szCs w:val="24"/>
              </w:rPr>
            </w:pPr>
            <w:r>
              <w:rPr>
                <w:rFonts w:cs="Arial" w:ascii="Arial" w:hAnsi="Arial"/>
                <w:b/>
                <w:sz w:val="24"/>
                <w:szCs w:val="24"/>
              </w:rPr>
              <w:t>Otec:</w:t>
            </w:r>
            <w:r>
              <w:rPr>
                <w:rFonts w:cs="Arial" w:ascii="Arial" w:hAnsi="Arial"/>
                <w:sz w:val="24"/>
                <w:szCs w:val="24"/>
              </w:rPr>
              <w:t xml:space="preserve"> zemřel v 77 letech na infarkt myokardu</w:t>
            </w:r>
          </w:p>
          <w:p>
            <w:pPr>
              <w:pStyle w:val="Normal"/>
              <w:widowControl w:val="false"/>
              <w:rPr>
                <w:rFonts w:ascii="Arial" w:hAnsi="Arial" w:cs="Arial"/>
                <w:sz w:val="24"/>
                <w:szCs w:val="24"/>
              </w:rPr>
            </w:pPr>
            <w:r>
              <w:rPr>
                <w:rFonts w:cs="Arial" w:ascii="Arial" w:hAnsi="Arial"/>
                <w:b/>
                <w:sz w:val="24"/>
                <w:szCs w:val="24"/>
              </w:rPr>
              <w:t>Sourozenci:</w:t>
            </w:r>
            <w:r>
              <w:rPr>
                <w:rFonts w:cs="Arial" w:ascii="Arial" w:hAnsi="Arial"/>
                <w:sz w:val="24"/>
                <w:szCs w:val="24"/>
              </w:rPr>
              <w:t xml:space="preserve"> nemá</w:t>
            </w:r>
          </w:p>
          <w:p>
            <w:pPr>
              <w:pStyle w:val="Normal"/>
              <w:widowControl w:val="false"/>
              <w:rPr>
                <w:rFonts w:ascii="Arial" w:hAnsi="Arial" w:cs="Arial"/>
                <w:sz w:val="24"/>
                <w:szCs w:val="24"/>
              </w:rPr>
            </w:pPr>
            <w:r>
              <w:rPr>
                <w:rFonts w:cs="Arial" w:ascii="Arial" w:hAnsi="Arial"/>
                <w:b/>
                <w:sz w:val="24"/>
                <w:szCs w:val="24"/>
              </w:rPr>
              <w:t>Děti:</w:t>
            </w:r>
            <w:r>
              <w:rPr>
                <w:rFonts w:cs="Arial" w:ascii="Arial" w:hAnsi="Arial"/>
                <w:sz w:val="24"/>
                <w:szCs w:val="24"/>
              </w:rPr>
              <w:t xml:space="preserve"> dcera, zdravá</w:t>
            </w:r>
          </w:p>
        </w:tc>
      </w:tr>
      <w:tr>
        <w:trPr>
          <w:trHeight w:val="2295" w:hRule="atLeast"/>
        </w:trPr>
        <w:tc>
          <w:tcPr>
            <w:tcW w:w="3258"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Osobní anamnéza</w:t>
            </w:r>
          </w:p>
        </w:tc>
        <w:tc>
          <w:tcPr>
            <w:tcW w:w="574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sz w:val="24"/>
                <w:szCs w:val="24"/>
              </w:rPr>
              <w:t>Překonané a chronické onemocnění</w:t>
            </w:r>
            <w:r>
              <w:rPr>
                <w:rFonts w:cs="Arial" w:ascii="Arial" w:hAnsi="Arial"/>
                <w:sz w:val="24"/>
                <w:szCs w:val="24"/>
              </w:rPr>
              <w:t>: prodělala běžné dětské nemoci, ICHDK (ischemická choroba dolních končetin), sledována na hematologii pro polycytémii, hypertenze</w:t>
            </w:r>
          </w:p>
          <w:p>
            <w:pPr>
              <w:pStyle w:val="Normal"/>
              <w:widowControl w:val="false"/>
              <w:rPr>
                <w:rFonts w:ascii="Arial" w:hAnsi="Arial" w:cs="Arial"/>
                <w:sz w:val="24"/>
                <w:szCs w:val="24"/>
              </w:rPr>
            </w:pPr>
            <w:r>
              <w:rPr>
                <w:rFonts w:cs="Arial" w:ascii="Arial" w:hAnsi="Arial"/>
                <w:b/>
                <w:sz w:val="24"/>
                <w:szCs w:val="24"/>
              </w:rPr>
              <w:t>Hospitalizace a operace</w:t>
            </w:r>
            <w:r>
              <w:rPr>
                <w:rFonts w:cs="Arial" w:ascii="Arial" w:hAnsi="Arial"/>
                <w:sz w:val="24"/>
                <w:szCs w:val="24"/>
              </w:rPr>
              <w:t>: cholecystektomie</w:t>
            </w:r>
          </w:p>
          <w:p>
            <w:pPr>
              <w:pStyle w:val="Normal"/>
              <w:widowControl w:val="false"/>
              <w:rPr>
                <w:rFonts w:ascii="Arial" w:hAnsi="Arial" w:cs="Arial"/>
                <w:sz w:val="24"/>
                <w:szCs w:val="24"/>
              </w:rPr>
            </w:pPr>
            <w:r>
              <w:rPr>
                <w:rFonts w:cs="Arial" w:ascii="Arial" w:hAnsi="Arial"/>
                <w:b/>
                <w:sz w:val="24"/>
                <w:szCs w:val="24"/>
              </w:rPr>
              <w:t>Úrazy</w:t>
            </w:r>
            <w:r>
              <w:rPr>
                <w:rFonts w:cs="Arial" w:ascii="Arial" w:hAnsi="Arial"/>
                <w:sz w:val="24"/>
                <w:szCs w:val="24"/>
              </w:rPr>
              <w:t>: neprodělala žádné závažnější úrazy</w:t>
            </w:r>
          </w:p>
          <w:p>
            <w:pPr>
              <w:pStyle w:val="Normal"/>
              <w:widowControl w:val="false"/>
              <w:rPr>
                <w:rFonts w:ascii="Arial" w:hAnsi="Arial" w:cs="Arial"/>
                <w:sz w:val="24"/>
                <w:szCs w:val="24"/>
              </w:rPr>
            </w:pPr>
            <w:r>
              <w:rPr>
                <w:rFonts w:cs="Arial" w:ascii="Arial" w:hAnsi="Arial"/>
                <w:b/>
                <w:sz w:val="24"/>
                <w:szCs w:val="24"/>
              </w:rPr>
              <w:t>Transfuze</w:t>
            </w:r>
            <w:r>
              <w:rPr>
                <w:rFonts w:cs="Arial" w:ascii="Arial" w:hAnsi="Arial"/>
                <w:sz w:val="24"/>
                <w:szCs w:val="24"/>
              </w:rPr>
              <w:t>: 0</w:t>
            </w:r>
          </w:p>
          <w:p>
            <w:pPr>
              <w:pStyle w:val="Normal"/>
              <w:widowControl w:val="false"/>
              <w:rPr>
                <w:rFonts w:ascii="Arial" w:hAnsi="Arial" w:cs="Arial"/>
                <w:sz w:val="24"/>
                <w:szCs w:val="24"/>
              </w:rPr>
            </w:pPr>
            <w:r>
              <w:rPr>
                <w:rFonts w:cs="Arial" w:ascii="Arial" w:hAnsi="Arial"/>
                <w:b/>
                <w:sz w:val="24"/>
                <w:szCs w:val="24"/>
              </w:rPr>
              <w:t>Očkování</w:t>
            </w:r>
            <w:r>
              <w:rPr>
                <w:rFonts w:cs="Arial" w:ascii="Arial" w:hAnsi="Arial"/>
                <w:sz w:val="24"/>
                <w:szCs w:val="24"/>
              </w:rPr>
              <w:t>: povinné</w:t>
            </w:r>
          </w:p>
        </w:tc>
      </w:tr>
      <w:tr>
        <w:trPr/>
        <w:tc>
          <w:tcPr>
            <w:tcW w:w="3258"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Léková anamnéza</w:t>
            </w:r>
          </w:p>
        </w:tc>
        <w:tc>
          <w:tcPr>
            <w:tcW w:w="574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Litalir 500 mg tbl.(1-0-1) – cytostatikum</w:t>
            </w:r>
          </w:p>
          <w:p>
            <w:pPr>
              <w:pStyle w:val="Normal"/>
              <w:widowControl w:val="false"/>
              <w:rPr>
                <w:rFonts w:ascii="Arial" w:hAnsi="Arial" w:cs="Arial"/>
                <w:sz w:val="24"/>
                <w:szCs w:val="24"/>
              </w:rPr>
            </w:pPr>
            <w:r>
              <w:rPr>
                <w:rFonts w:cs="Arial" w:ascii="Arial" w:hAnsi="Arial"/>
                <w:sz w:val="24"/>
                <w:szCs w:val="24"/>
              </w:rPr>
              <w:t>Nitresan 10 mg tbl. (1-0-0) – antihypertenzivum</w:t>
            </w:r>
          </w:p>
          <w:p>
            <w:pPr>
              <w:pStyle w:val="Normal"/>
              <w:widowControl w:val="false"/>
              <w:rPr>
                <w:rFonts w:ascii="Arial" w:hAnsi="Arial" w:cs="Arial"/>
                <w:sz w:val="24"/>
                <w:szCs w:val="24"/>
              </w:rPr>
            </w:pPr>
            <w:r>
              <w:rPr>
                <w:rFonts w:cs="Arial" w:ascii="Arial" w:hAnsi="Arial"/>
                <w:sz w:val="24"/>
                <w:szCs w:val="24"/>
              </w:rPr>
              <w:t>Buronil 25 mg tbl. (1-0-0) – neuroleptikum</w:t>
            </w:r>
          </w:p>
          <w:p>
            <w:pPr>
              <w:pStyle w:val="Normal"/>
              <w:widowControl w:val="false"/>
              <w:rPr>
                <w:rFonts w:ascii="Arial" w:hAnsi="Arial" w:cs="Arial"/>
                <w:sz w:val="24"/>
                <w:szCs w:val="24"/>
              </w:rPr>
            </w:pPr>
            <w:r>
              <w:rPr>
                <w:rFonts w:cs="Arial" w:ascii="Arial" w:hAnsi="Arial"/>
                <w:sz w:val="24"/>
                <w:szCs w:val="24"/>
              </w:rPr>
              <w:t>Clexane 0,4 ml s. c. (subkutánní) (1-0-1) – antikoagulancium</w:t>
            </w:r>
          </w:p>
        </w:tc>
      </w:tr>
      <w:tr>
        <w:trPr/>
        <w:tc>
          <w:tcPr>
            <w:tcW w:w="3258"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Alergologická anamnéza</w:t>
            </w:r>
          </w:p>
        </w:tc>
        <w:tc>
          <w:tcPr>
            <w:tcW w:w="574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sz w:val="24"/>
                <w:szCs w:val="24"/>
              </w:rPr>
              <w:t>Léky:</w:t>
            </w:r>
            <w:r>
              <w:rPr>
                <w:rFonts w:cs="Arial" w:ascii="Arial" w:hAnsi="Arial"/>
                <w:sz w:val="24"/>
                <w:szCs w:val="24"/>
              </w:rPr>
              <w:t xml:space="preserve"> neguje</w:t>
            </w:r>
          </w:p>
          <w:p>
            <w:pPr>
              <w:pStyle w:val="Normal"/>
              <w:widowControl w:val="false"/>
              <w:rPr>
                <w:rFonts w:ascii="Arial" w:hAnsi="Arial" w:cs="Arial"/>
                <w:sz w:val="24"/>
                <w:szCs w:val="24"/>
              </w:rPr>
            </w:pPr>
            <w:r>
              <w:rPr>
                <w:rFonts w:cs="Arial" w:ascii="Arial" w:hAnsi="Arial"/>
                <w:b/>
                <w:sz w:val="24"/>
                <w:szCs w:val="24"/>
              </w:rPr>
              <w:t>Potraviny:</w:t>
            </w:r>
            <w:r>
              <w:rPr>
                <w:rFonts w:cs="Arial" w:ascii="Arial" w:hAnsi="Arial"/>
                <w:sz w:val="24"/>
                <w:szCs w:val="24"/>
              </w:rPr>
              <w:t xml:space="preserve"> neguje</w:t>
            </w:r>
          </w:p>
          <w:p>
            <w:pPr>
              <w:pStyle w:val="Normal"/>
              <w:widowControl w:val="false"/>
              <w:rPr>
                <w:rFonts w:ascii="Arial" w:hAnsi="Arial" w:cs="Arial"/>
                <w:sz w:val="24"/>
                <w:szCs w:val="24"/>
              </w:rPr>
            </w:pPr>
            <w:r>
              <w:rPr>
                <w:rFonts w:cs="Arial" w:ascii="Arial" w:hAnsi="Arial"/>
                <w:b/>
                <w:sz w:val="24"/>
                <w:szCs w:val="24"/>
              </w:rPr>
              <w:t>Chemické látky:</w:t>
            </w:r>
            <w:r>
              <w:rPr>
                <w:rFonts w:cs="Arial" w:ascii="Arial" w:hAnsi="Arial"/>
                <w:sz w:val="24"/>
                <w:szCs w:val="24"/>
              </w:rPr>
              <w:t xml:space="preserve"> neguje</w:t>
            </w:r>
          </w:p>
          <w:p>
            <w:pPr>
              <w:pStyle w:val="Normal"/>
              <w:widowControl w:val="false"/>
              <w:rPr>
                <w:rFonts w:ascii="Arial" w:hAnsi="Arial" w:cs="Arial"/>
                <w:sz w:val="24"/>
                <w:szCs w:val="24"/>
              </w:rPr>
            </w:pPr>
            <w:r>
              <w:rPr>
                <w:rFonts w:cs="Arial" w:ascii="Arial" w:hAnsi="Arial"/>
                <w:b/>
                <w:sz w:val="24"/>
                <w:szCs w:val="24"/>
              </w:rPr>
              <w:t>Jiné:</w:t>
            </w:r>
            <w:r>
              <w:rPr>
                <w:rFonts w:cs="Arial" w:ascii="Arial" w:hAnsi="Arial"/>
                <w:sz w:val="24"/>
                <w:szCs w:val="24"/>
              </w:rPr>
              <w:t xml:space="preserve"> neguje</w:t>
            </w:r>
          </w:p>
        </w:tc>
      </w:tr>
      <w:tr>
        <w:trPr/>
        <w:tc>
          <w:tcPr>
            <w:tcW w:w="3258"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Abúzy</w:t>
            </w:r>
          </w:p>
        </w:tc>
        <w:tc>
          <w:tcPr>
            <w:tcW w:w="574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sz w:val="24"/>
                <w:szCs w:val="24"/>
              </w:rPr>
              <w:t xml:space="preserve">Alkohol: </w:t>
            </w:r>
            <w:r>
              <w:rPr>
                <w:rFonts w:cs="Arial" w:ascii="Arial" w:hAnsi="Arial"/>
                <w:sz w:val="24"/>
                <w:szCs w:val="24"/>
              </w:rPr>
              <w:t>nepije</w:t>
            </w:r>
          </w:p>
          <w:p>
            <w:pPr>
              <w:pStyle w:val="Normal"/>
              <w:widowControl w:val="false"/>
              <w:rPr>
                <w:rFonts w:ascii="Arial" w:hAnsi="Arial" w:cs="Arial"/>
                <w:sz w:val="24"/>
                <w:szCs w:val="24"/>
              </w:rPr>
            </w:pPr>
            <w:r>
              <w:rPr>
                <w:rFonts w:cs="Arial" w:ascii="Arial" w:hAnsi="Arial"/>
                <w:b/>
                <w:sz w:val="24"/>
                <w:szCs w:val="24"/>
              </w:rPr>
              <w:t>Kouření:</w:t>
            </w:r>
            <w:r>
              <w:rPr>
                <w:rFonts w:cs="Arial" w:ascii="Arial" w:hAnsi="Arial"/>
                <w:sz w:val="24"/>
                <w:szCs w:val="24"/>
              </w:rPr>
              <w:t xml:space="preserve"> nekouří</w:t>
            </w:r>
          </w:p>
          <w:p>
            <w:pPr>
              <w:pStyle w:val="Normal"/>
              <w:widowControl w:val="false"/>
              <w:rPr>
                <w:rFonts w:ascii="Arial" w:hAnsi="Arial" w:cs="Arial"/>
                <w:sz w:val="24"/>
                <w:szCs w:val="24"/>
              </w:rPr>
            </w:pPr>
            <w:r>
              <w:rPr>
                <w:rFonts w:cs="Arial" w:ascii="Arial" w:hAnsi="Arial"/>
                <w:b/>
                <w:sz w:val="24"/>
                <w:szCs w:val="24"/>
              </w:rPr>
              <w:t>Káva:</w:t>
            </w:r>
            <w:r>
              <w:rPr>
                <w:rFonts w:cs="Arial" w:ascii="Arial" w:hAnsi="Arial"/>
                <w:sz w:val="24"/>
                <w:szCs w:val="24"/>
              </w:rPr>
              <w:t xml:space="preserve"> asi 1 šálek týdně</w:t>
            </w:r>
          </w:p>
          <w:p>
            <w:pPr>
              <w:pStyle w:val="Normal"/>
              <w:widowControl w:val="false"/>
              <w:rPr>
                <w:rFonts w:ascii="Arial" w:hAnsi="Arial" w:cs="Arial"/>
                <w:sz w:val="24"/>
                <w:szCs w:val="24"/>
              </w:rPr>
            </w:pPr>
            <w:r>
              <w:rPr>
                <w:rFonts w:cs="Arial" w:ascii="Arial" w:hAnsi="Arial"/>
                <w:b/>
                <w:sz w:val="24"/>
                <w:szCs w:val="24"/>
              </w:rPr>
              <w:t>Léky:</w:t>
            </w:r>
            <w:r>
              <w:rPr>
                <w:rFonts w:cs="Arial" w:ascii="Arial" w:hAnsi="Arial"/>
                <w:sz w:val="24"/>
                <w:szCs w:val="24"/>
              </w:rPr>
              <w:t xml:space="preserve"> žádné</w:t>
            </w:r>
          </w:p>
          <w:p>
            <w:pPr>
              <w:pStyle w:val="Normal"/>
              <w:widowControl w:val="false"/>
              <w:rPr>
                <w:rFonts w:ascii="Arial" w:hAnsi="Arial" w:cs="Arial"/>
                <w:sz w:val="24"/>
                <w:szCs w:val="24"/>
              </w:rPr>
            </w:pPr>
            <w:r>
              <w:rPr>
                <w:rFonts w:cs="Arial" w:ascii="Arial" w:hAnsi="Arial"/>
                <w:b/>
                <w:sz w:val="24"/>
                <w:szCs w:val="24"/>
              </w:rPr>
              <w:t>Jiné drogy:</w:t>
            </w:r>
            <w:r>
              <w:rPr>
                <w:rFonts w:cs="Arial" w:ascii="Arial" w:hAnsi="Arial"/>
                <w:sz w:val="24"/>
                <w:szCs w:val="24"/>
              </w:rPr>
              <w:t xml:space="preserve"> žádné</w:t>
            </w:r>
          </w:p>
        </w:tc>
      </w:tr>
      <w:tr>
        <w:trPr/>
        <w:tc>
          <w:tcPr>
            <w:tcW w:w="3258"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Gynekologická/urologická anamnéza</w:t>
            </w:r>
          </w:p>
        </w:tc>
        <w:tc>
          <w:tcPr>
            <w:tcW w:w="574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sz w:val="24"/>
                <w:szCs w:val="24"/>
              </w:rPr>
              <w:t xml:space="preserve">Menarché: </w:t>
            </w:r>
            <w:r>
              <w:rPr>
                <w:rFonts w:cs="Arial" w:ascii="Arial" w:hAnsi="Arial"/>
                <w:sz w:val="24"/>
                <w:szCs w:val="24"/>
              </w:rPr>
              <w:t>ve 14 letech</w:t>
            </w:r>
          </w:p>
          <w:p>
            <w:pPr>
              <w:pStyle w:val="Normal"/>
              <w:widowControl w:val="false"/>
              <w:rPr>
                <w:rFonts w:ascii="Arial" w:hAnsi="Arial" w:cs="Arial"/>
                <w:sz w:val="24"/>
                <w:szCs w:val="24"/>
              </w:rPr>
            </w:pPr>
            <w:r>
              <w:rPr>
                <w:rFonts w:cs="Arial" w:ascii="Arial" w:hAnsi="Arial"/>
                <w:b/>
                <w:sz w:val="24"/>
                <w:szCs w:val="24"/>
              </w:rPr>
              <w:t xml:space="preserve">Cyklus: </w:t>
            </w:r>
            <w:r>
              <w:rPr>
                <w:rFonts w:cs="Arial" w:ascii="Arial" w:hAnsi="Arial"/>
                <w:sz w:val="24"/>
                <w:szCs w:val="24"/>
              </w:rPr>
              <w:t>pravidelný</w:t>
            </w:r>
          </w:p>
          <w:p>
            <w:pPr>
              <w:pStyle w:val="Normal"/>
              <w:widowControl w:val="false"/>
              <w:rPr>
                <w:rFonts w:ascii="Arial" w:hAnsi="Arial" w:cs="Arial"/>
                <w:b/>
                <w:b/>
                <w:sz w:val="24"/>
                <w:szCs w:val="24"/>
              </w:rPr>
            </w:pPr>
            <w:r>
              <w:rPr>
                <w:rFonts w:cs="Arial" w:ascii="Arial" w:hAnsi="Arial"/>
                <w:b/>
                <w:sz w:val="24"/>
                <w:szCs w:val="24"/>
              </w:rPr>
              <w:t xml:space="preserve">Trvání: </w:t>
            </w:r>
            <w:r>
              <w:rPr>
                <w:rFonts w:cs="Arial" w:ascii="Arial" w:hAnsi="Arial"/>
                <w:sz w:val="24"/>
                <w:szCs w:val="24"/>
              </w:rPr>
              <w:t>28/5</w:t>
            </w:r>
          </w:p>
          <w:p>
            <w:pPr>
              <w:pStyle w:val="Normal"/>
              <w:widowControl w:val="false"/>
              <w:rPr>
                <w:rFonts w:ascii="Arial" w:hAnsi="Arial" w:cs="Arial"/>
                <w:b/>
                <w:b/>
                <w:sz w:val="24"/>
                <w:szCs w:val="24"/>
              </w:rPr>
            </w:pPr>
            <w:r>
              <w:rPr>
                <w:rFonts w:cs="Arial" w:ascii="Arial" w:hAnsi="Arial"/>
                <w:b/>
                <w:sz w:val="24"/>
                <w:szCs w:val="24"/>
              </w:rPr>
              <w:t xml:space="preserve">Intenzita, bolesti: </w:t>
            </w:r>
            <w:r>
              <w:rPr>
                <w:rFonts w:cs="Arial" w:ascii="Arial" w:hAnsi="Arial"/>
                <w:sz w:val="24"/>
                <w:szCs w:val="24"/>
              </w:rPr>
              <w:t>0</w:t>
            </w:r>
          </w:p>
          <w:p>
            <w:pPr>
              <w:pStyle w:val="Normal"/>
              <w:widowControl w:val="false"/>
              <w:rPr>
                <w:rFonts w:ascii="Arial" w:hAnsi="Arial" w:cs="Arial"/>
                <w:sz w:val="24"/>
                <w:szCs w:val="24"/>
              </w:rPr>
            </w:pPr>
            <w:r>
              <w:rPr>
                <w:rFonts w:cs="Arial" w:ascii="Arial" w:hAnsi="Arial"/>
                <w:b/>
                <w:sz w:val="24"/>
                <w:szCs w:val="24"/>
              </w:rPr>
              <w:t xml:space="preserve">Poslední menstruace: </w:t>
            </w:r>
            <w:r>
              <w:rPr>
                <w:rFonts w:cs="Arial" w:ascii="Arial" w:hAnsi="Arial"/>
                <w:sz w:val="24"/>
                <w:szCs w:val="24"/>
              </w:rPr>
              <w:t>nepamatuje si, ale asi před cca 30-40 lety</w:t>
            </w:r>
          </w:p>
          <w:p>
            <w:pPr>
              <w:pStyle w:val="Normal"/>
              <w:widowControl w:val="false"/>
              <w:rPr>
                <w:rFonts w:ascii="Arial" w:hAnsi="Arial" w:cs="Arial"/>
                <w:b/>
                <w:b/>
                <w:sz w:val="24"/>
                <w:szCs w:val="24"/>
              </w:rPr>
            </w:pPr>
            <w:r>
              <w:rPr>
                <w:rFonts w:cs="Arial" w:ascii="Arial" w:hAnsi="Arial"/>
                <w:b/>
                <w:sz w:val="24"/>
                <w:szCs w:val="24"/>
              </w:rPr>
              <w:t xml:space="preserve">Abortus: </w:t>
            </w:r>
            <w:r>
              <w:rPr>
                <w:rFonts w:cs="Arial" w:ascii="Arial" w:hAnsi="Arial"/>
                <w:sz w:val="24"/>
                <w:szCs w:val="24"/>
              </w:rPr>
              <w:t>0</w:t>
            </w:r>
          </w:p>
          <w:p>
            <w:pPr>
              <w:pStyle w:val="Normal"/>
              <w:widowControl w:val="false"/>
              <w:rPr>
                <w:rFonts w:ascii="Arial" w:hAnsi="Arial" w:cs="Arial"/>
                <w:b/>
                <w:b/>
                <w:sz w:val="24"/>
                <w:szCs w:val="24"/>
              </w:rPr>
            </w:pPr>
            <w:r>
              <w:rPr>
                <w:rFonts w:cs="Arial" w:ascii="Arial" w:hAnsi="Arial"/>
                <w:b/>
                <w:sz w:val="24"/>
                <w:szCs w:val="24"/>
              </w:rPr>
              <w:t xml:space="preserve">Umělé přerušení těhotenství: </w:t>
            </w:r>
            <w:r>
              <w:rPr>
                <w:rFonts w:cs="Arial" w:ascii="Arial" w:hAnsi="Arial"/>
                <w:sz w:val="24"/>
                <w:szCs w:val="24"/>
              </w:rPr>
              <w:t>0</w:t>
            </w:r>
          </w:p>
          <w:p>
            <w:pPr>
              <w:pStyle w:val="Normal"/>
              <w:widowControl w:val="false"/>
              <w:rPr>
                <w:rFonts w:ascii="Arial" w:hAnsi="Arial" w:cs="Arial"/>
                <w:sz w:val="24"/>
                <w:szCs w:val="24"/>
              </w:rPr>
            </w:pPr>
            <w:r>
              <w:rPr>
                <w:rFonts w:cs="Arial" w:ascii="Arial" w:hAnsi="Arial"/>
                <w:b/>
                <w:sz w:val="24"/>
                <w:szCs w:val="24"/>
              </w:rPr>
              <w:t xml:space="preserve">Antikoncepce: </w:t>
            </w:r>
            <w:r>
              <w:rPr>
                <w:rFonts w:cs="Arial" w:ascii="Arial" w:hAnsi="Arial"/>
                <w:sz w:val="24"/>
                <w:szCs w:val="24"/>
              </w:rPr>
              <w:t>nikdy neužívala</w:t>
            </w:r>
          </w:p>
          <w:p>
            <w:pPr>
              <w:pStyle w:val="Normal"/>
              <w:widowControl w:val="false"/>
              <w:rPr>
                <w:rFonts w:ascii="Arial" w:hAnsi="Arial" w:cs="Arial"/>
                <w:b/>
                <w:b/>
                <w:sz w:val="24"/>
                <w:szCs w:val="24"/>
              </w:rPr>
            </w:pPr>
            <w:r>
              <w:rPr>
                <w:rFonts w:cs="Arial" w:ascii="Arial" w:hAnsi="Arial"/>
                <w:b/>
                <w:sz w:val="24"/>
                <w:szCs w:val="24"/>
              </w:rPr>
              <w:t xml:space="preserve">Menopauza: </w:t>
            </w:r>
            <w:r>
              <w:rPr>
                <w:rFonts w:cs="Arial" w:ascii="Arial" w:hAnsi="Arial"/>
                <w:sz w:val="24"/>
                <w:szCs w:val="24"/>
              </w:rPr>
              <w:t>od 50 let</w:t>
            </w:r>
          </w:p>
          <w:p>
            <w:pPr>
              <w:pStyle w:val="Normal"/>
              <w:widowControl w:val="false"/>
              <w:rPr>
                <w:rFonts w:ascii="Arial" w:hAnsi="Arial" w:cs="Arial"/>
                <w:sz w:val="24"/>
                <w:szCs w:val="24"/>
              </w:rPr>
            </w:pPr>
            <w:r>
              <w:rPr>
                <w:rFonts w:cs="Arial" w:ascii="Arial" w:hAnsi="Arial"/>
                <w:b/>
                <w:sz w:val="24"/>
                <w:szCs w:val="24"/>
              </w:rPr>
              <w:t xml:space="preserve">Potíže klimakteria: </w:t>
            </w:r>
            <w:r>
              <w:rPr>
                <w:rFonts w:cs="Arial" w:ascii="Arial" w:hAnsi="Arial"/>
                <w:sz w:val="24"/>
                <w:szCs w:val="24"/>
              </w:rPr>
              <w:t>nevolnost</w:t>
            </w:r>
          </w:p>
          <w:p>
            <w:pPr>
              <w:pStyle w:val="Normal"/>
              <w:widowControl w:val="false"/>
              <w:rPr>
                <w:rFonts w:ascii="Arial" w:hAnsi="Arial" w:cs="Arial"/>
                <w:sz w:val="24"/>
                <w:szCs w:val="24"/>
              </w:rPr>
            </w:pPr>
            <w:r>
              <w:rPr>
                <w:rFonts w:cs="Arial" w:ascii="Arial" w:hAnsi="Arial"/>
                <w:b/>
                <w:sz w:val="24"/>
                <w:szCs w:val="24"/>
              </w:rPr>
              <w:t xml:space="preserve">Samovyšetřování prsou: </w:t>
            </w:r>
            <w:r>
              <w:rPr>
                <w:rFonts w:cs="Arial" w:ascii="Arial" w:hAnsi="Arial"/>
                <w:sz w:val="24"/>
                <w:szCs w:val="24"/>
              </w:rPr>
              <w:t>neprováděla</w:t>
            </w:r>
          </w:p>
          <w:p>
            <w:pPr>
              <w:pStyle w:val="Normal"/>
              <w:widowControl w:val="false"/>
              <w:rPr>
                <w:rFonts w:ascii="Arial" w:hAnsi="Arial" w:cs="Arial"/>
                <w:sz w:val="24"/>
                <w:szCs w:val="24"/>
              </w:rPr>
            </w:pPr>
            <w:r>
              <w:rPr>
                <w:rFonts w:cs="Arial" w:ascii="Arial" w:hAnsi="Arial"/>
                <w:b/>
                <w:sz w:val="24"/>
                <w:szCs w:val="24"/>
              </w:rPr>
              <w:t xml:space="preserve">Poslední gynekologická prohlídka: </w:t>
            </w:r>
            <w:r>
              <w:rPr>
                <w:rFonts w:cs="Arial" w:ascii="Arial" w:hAnsi="Arial"/>
                <w:sz w:val="24"/>
                <w:szCs w:val="24"/>
              </w:rPr>
              <w:t>asi před 4 lety</w:t>
            </w:r>
          </w:p>
        </w:tc>
      </w:tr>
      <w:tr>
        <w:trPr/>
        <w:tc>
          <w:tcPr>
            <w:tcW w:w="3258"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Sociální anamnéza</w:t>
            </w:r>
          </w:p>
        </w:tc>
        <w:tc>
          <w:tcPr>
            <w:tcW w:w="574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b/>
                <w:b/>
                <w:sz w:val="24"/>
                <w:szCs w:val="24"/>
              </w:rPr>
            </w:pPr>
            <w:r>
              <w:rPr>
                <w:rFonts w:cs="Arial" w:ascii="Arial" w:hAnsi="Arial"/>
                <w:b/>
                <w:sz w:val="24"/>
                <w:szCs w:val="24"/>
              </w:rPr>
              <w:t xml:space="preserve">Stav: </w:t>
            </w:r>
            <w:r>
              <w:rPr>
                <w:rFonts w:cs="Arial" w:ascii="Arial" w:hAnsi="Arial"/>
                <w:sz w:val="24"/>
                <w:szCs w:val="24"/>
              </w:rPr>
              <w:t>vdova</w:t>
            </w:r>
          </w:p>
          <w:p>
            <w:pPr>
              <w:pStyle w:val="Normal"/>
              <w:widowControl w:val="false"/>
              <w:rPr>
                <w:rFonts w:ascii="Arial" w:hAnsi="Arial" w:cs="Arial"/>
                <w:sz w:val="24"/>
                <w:szCs w:val="24"/>
              </w:rPr>
            </w:pPr>
            <w:r>
              <w:rPr>
                <w:rFonts w:cs="Arial" w:ascii="Arial" w:hAnsi="Arial"/>
                <w:b/>
                <w:sz w:val="24"/>
                <w:szCs w:val="24"/>
              </w:rPr>
              <w:t xml:space="preserve">Bytové podmínky: </w:t>
            </w:r>
            <w:r>
              <w:rPr>
                <w:rFonts w:cs="Arial" w:ascii="Arial" w:hAnsi="Arial"/>
                <w:sz w:val="24"/>
                <w:szCs w:val="24"/>
              </w:rPr>
              <w:t>klientka LDN v nemocnici sv. Alžběty</w:t>
            </w:r>
          </w:p>
          <w:p>
            <w:pPr>
              <w:pStyle w:val="Normal"/>
              <w:widowControl w:val="false"/>
              <w:rPr>
                <w:rFonts w:ascii="Arial" w:hAnsi="Arial" w:cs="Arial"/>
                <w:sz w:val="24"/>
                <w:szCs w:val="24"/>
              </w:rPr>
            </w:pPr>
            <w:r>
              <w:rPr>
                <w:rFonts w:cs="Arial" w:ascii="Arial" w:hAnsi="Arial"/>
                <w:b/>
                <w:sz w:val="24"/>
                <w:szCs w:val="24"/>
              </w:rPr>
              <w:t>Vztahy, role a interakce v rodině:</w:t>
            </w:r>
            <w:r>
              <w:rPr>
                <w:rFonts w:cs="Arial" w:ascii="Arial" w:hAnsi="Arial"/>
                <w:sz w:val="24"/>
                <w:szCs w:val="24"/>
              </w:rPr>
              <w:t xml:space="preserve"> role matky, vztahy s rodinou velmi dobré, </w:t>
            </w:r>
            <w:r>
              <w:rPr>
                <w:rFonts w:cs="Arial" w:ascii="Arial" w:hAnsi="Arial"/>
                <w:b/>
                <w:sz w:val="24"/>
                <w:szCs w:val="24"/>
              </w:rPr>
              <w:t xml:space="preserve">mimo rodiny: </w:t>
            </w:r>
            <w:r>
              <w:rPr>
                <w:rFonts w:cs="Arial" w:ascii="Arial" w:hAnsi="Arial"/>
                <w:sz w:val="24"/>
                <w:szCs w:val="24"/>
              </w:rPr>
              <w:t>role</w:t>
            </w:r>
            <w:r>
              <w:rPr>
                <w:rFonts w:cs="Arial" w:ascii="Arial" w:hAnsi="Arial"/>
                <w:b/>
                <w:sz w:val="24"/>
                <w:szCs w:val="24"/>
              </w:rPr>
              <w:t xml:space="preserve"> </w:t>
            </w:r>
            <w:r>
              <w:rPr>
                <w:rFonts w:cs="Arial" w:ascii="Arial" w:hAnsi="Arial"/>
                <w:sz w:val="24"/>
                <w:szCs w:val="24"/>
              </w:rPr>
              <w:t>přítelkyně, s přítelkyněmi si dobře rozumí</w:t>
            </w:r>
          </w:p>
          <w:p>
            <w:pPr>
              <w:pStyle w:val="Normal"/>
              <w:widowControl w:val="false"/>
              <w:rPr>
                <w:rFonts w:ascii="Arial" w:hAnsi="Arial" w:cs="Arial"/>
                <w:sz w:val="24"/>
                <w:szCs w:val="24"/>
              </w:rPr>
            </w:pPr>
            <w:r>
              <w:rPr>
                <w:rFonts w:cs="Arial" w:ascii="Arial" w:hAnsi="Arial"/>
                <w:b/>
                <w:sz w:val="24"/>
                <w:szCs w:val="24"/>
              </w:rPr>
              <w:t>Záliby:</w:t>
            </w:r>
            <w:r>
              <w:rPr>
                <w:rFonts w:cs="Arial" w:ascii="Arial" w:hAnsi="Arial"/>
                <w:sz w:val="24"/>
                <w:szCs w:val="24"/>
              </w:rPr>
              <w:t xml:space="preserve"> četba, luštění křížovek, sledování TV</w:t>
            </w:r>
          </w:p>
          <w:p>
            <w:pPr>
              <w:pStyle w:val="Normal"/>
              <w:widowControl w:val="false"/>
              <w:rPr>
                <w:rFonts w:ascii="Arial" w:hAnsi="Arial" w:cs="Arial"/>
                <w:sz w:val="24"/>
                <w:szCs w:val="24"/>
              </w:rPr>
            </w:pPr>
            <w:r>
              <w:rPr>
                <w:rFonts w:cs="Arial" w:ascii="Arial" w:hAnsi="Arial"/>
                <w:b/>
                <w:sz w:val="24"/>
                <w:szCs w:val="24"/>
              </w:rPr>
              <w:t>Volnočasové aktivity:</w:t>
            </w:r>
            <w:r>
              <w:rPr>
                <w:rFonts w:cs="Arial" w:ascii="Arial" w:hAnsi="Arial"/>
                <w:sz w:val="24"/>
                <w:szCs w:val="24"/>
              </w:rPr>
              <w:t xml:space="preserve"> procházky</w:t>
            </w:r>
          </w:p>
        </w:tc>
      </w:tr>
      <w:tr>
        <w:trPr/>
        <w:tc>
          <w:tcPr>
            <w:tcW w:w="3258"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Pracovní anamnéza</w:t>
            </w:r>
          </w:p>
        </w:tc>
        <w:tc>
          <w:tcPr>
            <w:tcW w:w="5741"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sz w:val="24"/>
                <w:szCs w:val="24"/>
              </w:rPr>
              <w:t xml:space="preserve">Vzdělání: </w:t>
            </w:r>
            <w:r>
              <w:rPr>
                <w:rFonts w:cs="Arial" w:ascii="Arial" w:hAnsi="Arial"/>
                <w:sz w:val="24"/>
                <w:szCs w:val="24"/>
              </w:rPr>
              <w:t>střední odborné učiliště</w:t>
            </w:r>
          </w:p>
          <w:p>
            <w:pPr>
              <w:pStyle w:val="Normal"/>
              <w:widowControl w:val="false"/>
              <w:rPr>
                <w:rFonts w:ascii="Arial" w:hAnsi="Arial" w:cs="Arial"/>
                <w:sz w:val="24"/>
                <w:szCs w:val="24"/>
              </w:rPr>
            </w:pPr>
            <w:r>
              <w:rPr>
                <w:rFonts w:cs="Arial" w:ascii="Arial" w:hAnsi="Arial"/>
                <w:b/>
                <w:sz w:val="24"/>
                <w:szCs w:val="24"/>
              </w:rPr>
              <w:t>Pracovní zařazení:</w:t>
            </w:r>
            <w:r>
              <w:rPr>
                <w:rFonts w:cs="Arial" w:ascii="Arial" w:hAnsi="Arial"/>
                <w:sz w:val="24"/>
                <w:szCs w:val="24"/>
              </w:rPr>
              <w:t xml:space="preserve"> důchodkyně, dříve pracovala v oblasti administrativy</w:t>
            </w:r>
          </w:p>
          <w:p>
            <w:pPr>
              <w:pStyle w:val="Normal"/>
              <w:widowControl w:val="false"/>
              <w:rPr>
                <w:rFonts w:ascii="Arial" w:hAnsi="Arial" w:cs="Arial"/>
                <w:sz w:val="24"/>
                <w:szCs w:val="24"/>
              </w:rPr>
            </w:pPr>
            <w:r>
              <w:rPr>
                <w:rFonts w:cs="Arial" w:ascii="Arial" w:hAnsi="Arial"/>
                <w:b/>
                <w:sz w:val="24"/>
                <w:szCs w:val="24"/>
              </w:rPr>
              <w:t>Čas působení, čas odchodu do důchodu, jakého:</w:t>
            </w:r>
            <w:r>
              <w:rPr>
                <w:rFonts w:cs="Arial" w:ascii="Arial" w:hAnsi="Arial"/>
                <w:sz w:val="24"/>
                <w:szCs w:val="24"/>
              </w:rPr>
              <w:t xml:space="preserve"> v 60 letech, starobní důchod</w:t>
            </w:r>
          </w:p>
          <w:p>
            <w:pPr>
              <w:pStyle w:val="Normal"/>
              <w:widowControl w:val="false"/>
              <w:rPr>
                <w:rFonts w:ascii="Arial" w:hAnsi="Arial" w:cs="Arial"/>
                <w:sz w:val="24"/>
                <w:szCs w:val="24"/>
              </w:rPr>
            </w:pPr>
            <w:r>
              <w:rPr>
                <w:rFonts w:cs="Arial" w:ascii="Arial" w:hAnsi="Arial"/>
                <w:b/>
                <w:sz w:val="24"/>
                <w:szCs w:val="24"/>
              </w:rPr>
              <w:t>Vztahy na pracovišti:</w:t>
            </w:r>
            <w:r>
              <w:rPr>
                <w:rFonts w:cs="Arial" w:ascii="Arial" w:hAnsi="Arial"/>
                <w:sz w:val="24"/>
                <w:szCs w:val="24"/>
              </w:rPr>
              <w:t xml:space="preserve"> dobré</w:t>
            </w:r>
          </w:p>
          <w:p>
            <w:pPr>
              <w:pStyle w:val="Normal"/>
              <w:widowControl w:val="false"/>
              <w:rPr>
                <w:rFonts w:ascii="Arial" w:hAnsi="Arial" w:cs="Arial"/>
                <w:sz w:val="24"/>
                <w:szCs w:val="24"/>
              </w:rPr>
            </w:pPr>
            <w:r>
              <w:rPr>
                <w:rFonts w:cs="Arial" w:ascii="Arial" w:hAnsi="Arial"/>
                <w:b/>
                <w:sz w:val="24"/>
                <w:szCs w:val="24"/>
              </w:rPr>
              <w:t>Ekonomické podmínky:</w:t>
            </w:r>
            <w:r>
              <w:rPr>
                <w:rFonts w:cs="Arial" w:ascii="Arial" w:hAnsi="Arial"/>
                <w:sz w:val="24"/>
                <w:szCs w:val="24"/>
              </w:rPr>
              <w:t xml:space="preserve"> dobré</w:t>
            </w:r>
          </w:p>
        </w:tc>
      </w:tr>
      <w:tr>
        <w:trPr/>
        <w:tc>
          <w:tcPr>
            <w:tcW w:w="3258" w:type="dxa"/>
            <w:tcBorders>
              <w:top w:val="single" w:sz="4" w:space="0" w:color="000000"/>
              <w:left w:val="single" w:sz="12" w:space="0" w:color="000000"/>
              <w:bottom w:val="single" w:sz="12"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Spirituální anamnéza</w:t>
            </w:r>
          </w:p>
        </w:tc>
        <w:tc>
          <w:tcPr>
            <w:tcW w:w="5741" w:type="dxa"/>
            <w:tcBorders>
              <w:top w:val="single" w:sz="4" w:space="0" w:color="000000"/>
              <w:left w:val="single" w:sz="4" w:space="0" w:color="000000"/>
              <w:bottom w:val="single" w:sz="12" w:space="0" w:color="000000"/>
              <w:right w:val="single" w:sz="12" w:space="0" w:color="000000"/>
            </w:tcBorders>
          </w:tcPr>
          <w:p>
            <w:pPr>
              <w:pStyle w:val="Normal"/>
              <w:widowControl w:val="false"/>
              <w:rPr>
                <w:rFonts w:ascii="Arial" w:hAnsi="Arial" w:cs="Arial"/>
                <w:sz w:val="24"/>
                <w:szCs w:val="24"/>
              </w:rPr>
            </w:pPr>
            <w:r>
              <w:rPr>
                <w:rFonts w:cs="Arial" w:ascii="Arial" w:hAnsi="Arial"/>
                <w:b/>
                <w:sz w:val="24"/>
                <w:szCs w:val="24"/>
              </w:rPr>
              <w:t>Spirituální anamnéza:</w:t>
            </w:r>
            <w:r>
              <w:rPr>
                <w:rFonts w:cs="Arial" w:ascii="Arial" w:hAnsi="Arial"/>
                <w:sz w:val="24"/>
                <w:szCs w:val="24"/>
              </w:rPr>
              <w:t xml:space="preserve"> ateista</w:t>
            </w:r>
          </w:p>
          <w:p>
            <w:pPr>
              <w:pStyle w:val="Normal"/>
              <w:widowControl w:val="false"/>
              <w:rPr>
                <w:rFonts w:ascii="Arial" w:hAnsi="Arial" w:cs="Arial"/>
                <w:sz w:val="24"/>
                <w:szCs w:val="24"/>
              </w:rPr>
            </w:pPr>
            <w:r>
              <w:rPr>
                <w:rFonts w:cs="Arial" w:ascii="Arial" w:hAnsi="Arial"/>
                <w:b/>
                <w:sz w:val="24"/>
                <w:szCs w:val="24"/>
              </w:rPr>
              <w:t>Religiózní praktiky:</w:t>
            </w:r>
            <w:r>
              <w:rPr>
                <w:rFonts w:cs="Arial" w:ascii="Arial" w:hAnsi="Arial"/>
                <w:sz w:val="24"/>
                <w:szCs w:val="24"/>
              </w:rPr>
              <w:t xml:space="preserve"> 0</w:t>
            </w:r>
          </w:p>
          <w:p>
            <w:pPr>
              <w:pStyle w:val="Normal"/>
              <w:widowControl w:val="false"/>
              <w:rPr>
                <w:rFonts w:ascii="Arial" w:hAnsi="Arial" w:cs="Arial"/>
                <w:sz w:val="24"/>
                <w:szCs w:val="24"/>
              </w:rPr>
            </w:pPr>
            <w:r>
              <w:rPr>
                <w:rFonts w:cs="Arial" w:ascii="Arial" w:hAnsi="Arial"/>
                <w:sz w:val="24"/>
                <w:szCs w:val="24"/>
              </w:rPr>
            </w:r>
          </w:p>
        </w:tc>
      </w:tr>
    </w:tbl>
    <w:p>
      <w:pPr>
        <w:pStyle w:val="Normal"/>
        <w:rPr>
          <w:rFonts w:ascii="Arial" w:hAnsi="Arial" w:cs="Arial"/>
          <w:sz w:val="24"/>
          <w:szCs w:val="24"/>
        </w:rPr>
      </w:pPr>
      <w:r>
        <w:rPr>
          <w:rFonts w:cs="Arial" w:ascii="Arial" w:hAnsi="Arial"/>
          <w:sz w:val="24"/>
          <w:szCs w:val="24"/>
        </w:rPr>
      </w:r>
    </w:p>
    <w:p>
      <w:pPr>
        <w:pStyle w:val="Normal"/>
        <w:ind w:left="142" w:hanging="0"/>
        <w:rPr>
          <w:rFonts w:ascii="Arial" w:hAnsi="Arial" w:cs="Arial"/>
          <w:b/>
          <w:b/>
          <w:color w:val="0000FF"/>
          <w:sz w:val="24"/>
          <w:szCs w:val="24"/>
        </w:rPr>
      </w:pPr>
      <w:r>
        <w:rPr>
          <w:rFonts w:cs="Arial" w:ascii="Arial" w:hAnsi="Arial"/>
          <w:b/>
          <w:color w:val="0000FF"/>
          <w:sz w:val="24"/>
          <w:szCs w:val="24"/>
        </w:rPr>
        <w:t>Lékařská diagnóza</w:t>
      </w:r>
    </w:p>
    <w:tbl>
      <w:tblPr>
        <w:tblW w:w="897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8970"/>
      </w:tblGrid>
      <w:tr>
        <w:trPr>
          <w:trHeight w:val="2986" w:hRule="atLeast"/>
        </w:trPr>
        <w:tc>
          <w:tcPr>
            <w:tcW w:w="8970" w:type="dxa"/>
            <w:tcBorders>
              <w:top w:val="single" w:sz="12" w:space="0" w:color="000000"/>
              <w:left w:val="single" w:sz="12" w:space="0" w:color="000000"/>
              <w:bottom w:val="single" w:sz="12" w:space="0" w:color="000000"/>
              <w:right w:val="single" w:sz="12" w:space="0" w:color="000000"/>
            </w:tcBorders>
            <w:shd w:color="auto" w:fill="FFFFFF" w:val="clear"/>
            <w:vAlign w:val="center"/>
          </w:tcPr>
          <w:p>
            <w:pPr>
              <w:pStyle w:val="Normal"/>
              <w:widowControl w:val="false"/>
              <w:spacing w:lineRule="auto" w:line="360"/>
              <w:rPr>
                <w:rFonts w:ascii="Arial" w:hAnsi="Arial" w:cs="Arial"/>
                <w:sz w:val="24"/>
                <w:szCs w:val="24"/>
              </w:rPr>
            </w:pPr>
            <w:r>
              <w:rPr>
                <w:rFonts w:cs="Arial" w:ascii="Arial" w:hAnsi="Arial"/>
                <w:sz w:val="24"/>
                <w:szCs w:val="24"/>
              </w:rPr>
              <w:t>I70.2 Ischemická choroba dolních končetin</w:t>
            </w:r>
          </w:p>
          <w:p>
            <w:pPr>
              <w:pStyle w:val="Normal"/>
              <w:widowControl w:val="false"/>
              <w:spacing w:lineRule="auto" w:line="360"/>
              <w:rPr>
                <w:rFonts w:ascii="Arial" w:hAnsi="Arial" w:cs="Arial"/>
                <w:sz w:val="24"/>
                <w:szCs w:val="24"/>
              </w:rPr>
            </w:pPr>
            <w:r>
              <w:rPr>
                <w:rFonts w:cs="Arial" w:ascii="Arial" w:hAnsi="Arial"/>
                <w:sz w:val="24"/>
                <w:szCs w:val="24"/>
              </w:rPr>
              <w:t>D45 Polycythaemia vera</w:t>
            </w:r>
          </w:p>
          <w:p>
            <w:pPr>
              <w:pStyle w:val="Normal"/>
              <w:widowControl w:val="false"/>
              <w:spacing w:lineRule="auto" w:line="360"/>
              <w:rPr>
                <w:rFonts w:ascii="Arial" w:hAnsi="Arial" w:cs="Arial"/>
                <w:sz w:val="24"/>
                <w:szCs w:val="24"/>
              </w:rPr>
            </w:pPr>
            <w:r>
              <w:rPr>
                <w:rFonts w:cs="Arial" w:ascii="Arial" w:hAnsi="Arial"/>
                <w:sz w:val="24"/>
                <w:szCs w:val="24"/>
              </w:rPr>
              <w:t>I10 Esenciální hypertenze</w:t>
            </w:r>
          </w:p>
          <w:p>
            <w:pPr>
              <w:pStyle w:val="Normal"/>
              <w:widowControl w:val="false"/>
              <w:spacing w:lineRule="auto" w:line="360"/>
              <w:rPr>
                <w:rFonts w:ascii="Arial" w:hAnsi="Arial" w:cs="Arial"/>
                <w:sz w:val="24"/>
                <w:szCs w:val="24"/>
              </w:rPr>
            </w:pPr>
            <w:r>
              <w:rPr>
                <w:rFonts w:cs="Arial" w:ascii="Arial" w:hAnsi="Arial"/>
                <w:sz w:val="24"/>
                <w:szCs w:val="24"/>
              </w:rPr>
              <w:t>Z03.9 Podezření na M. Alzheimer</w:t>
            </w:r>
          </w:p>
          <w:p>
            <w:pPr>
              <w:pStyle w:val="Normal"/>
              <w:widowControl w:val="false"/>
              <w:spacing w:lineRule="auto" w:line="360"/>
              <w:rPr>
                <w:rFonts w:ascii="Arial" w:hAnsi="Arial" w:cs="Arial"/>
                <w:sz w:val="24"/>
                <w:szCs w:val="24"/>
              </w:rPr>
            </w:pPr>
            <w:r>
              <w:rPr>
                <w:rFonts w:cs="Arial" w:ascii="Arial" w:hAnsi="Arial"/>
                <w:sz w:val="24"/>
                <w:szCs w:val="24"/>
              </w:rPr>
              <w:t>Z90.4 Stav po cholecystektomii</w:t>
            </w:r>
          </w:p>
          <w:p>
            <w:pPr>
              <w:pStyle w:val="Normal"/>
              <w:widowControl w:val="false"/>
              <w:spacing w:lineRule="auto" w:line="360"/>
              <w:rPr>
                <w:rFonts w:ascii="Arial" w:hAnsi="Arial" w:cs="Arial"/>
                <w:sz w:val="24"/>
                <w:szCs w:val="24"/>
              </w:rPr>
            </w:pPr>
            <w:r>
              <w:rPr>
                <w:rFonts w:cs="Arial" w:ascii="Arial" w:hAnsi="Arial"/>
                <w:sz w:val="24"/>
                <w:szCs w:val="24"/>
              </w:rPr>
              <w:t>H521 Krátkozrakost</w:t>
            </w:r>
          </w:p>
        </w:tc>
      </w:tr>
    </w:tbl>
    <w:p>
      <w:pPr>
        <w:pStyle w:val="Normal"/>
        <w:rPr>
          <w:rFonts w:ascii="Arial" w:hAnsi="Arial" w:cs="Arial"/>
          <w:sz w:val="24"/>
          <w:szCs w:val="24"/>
        </w:rPr>
      </w:pPr>
      <w:r>
        <w:rPr>
          <w:rFonts w:cs="Arial" w:ascii="Arial" w:hAnsi="Arial"/>
          <w:sz w:val="24"/>
          <w:szCs w:val="24"/>
        </w:rPr>
      </w:r>
    </w:p>
    <w:p>
      <w:pPr>
        <w:pStyle w:val="Nadpis1"/>
        <w:ind w:left="142" w:hanging="0"/>
        <w:rPr>
          <w:rFonts w:cs="Arial"/>
          <w:color w:val="0000FF"/>
          <w:szCs w:val="24"/>
        </w:rPr>
      </w:pPr>
      <w:r>
        <w:rPr>
          <w:rFonts w:cs="Arial"/>
          <w:color w:val="0000FF"/>
          <w:szCs w:val="24"/>
        </w:rPr>
        <w:t>Diagnostické údaje</w:t>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3258"/>
        <w:gridCol w:w="5741"/>
      </w:tblGrid>
      <w:tr>
        <w:trPr/>
        <w:tc>
          <w:tcPr>
            <w:tcW w:w="3258" w:type="dxa"/>
            <w:tcBorders>
              <w:top w:val="single" w:sz="12" w:space="0" w:color="000000"/>
              <w:left w:val="single" w:sz="12" w:space="0" w:color="000000"/>
              <w:bottom w:val="single" w:sz="4" w:space="0" w:color="000000"/>
              <w:right w:val="single" w:sz="4" w:space="0" w:color="000000"/>
            </w:tcBorders>
            <w:shd w:color="auto" w:fill="FFFFFF" w:val="pct5"/>
          </w:tcPr>
          <w:p>
            <w:pPr>
              <w:pStyle w:val="Normal"/>
              <w:widowControl w:val="false"/>
              <w:rPr>
                <w:rFonts w:ascii="Arial" w:hAnsi="Arial" w:cs="Arial"/>
                <w:b/>
                <w:b/>
                <w:sz w:val="24"/>
                <w:szCs w:val="24"/>
              </w:rPr>
            </w:pPr>
            <w:r>
              <w:rPr>
                <w:rFonts w:cs="Arial" w:ascii="Arial" w:hAnsi="Arial"/>
                <w:b/>
                <w:sz w:val="24"/>
                <w:szCs w:val="24"/>
              </w:rPr>
              <w:t>Ordinovaná vyšetření</w:t>
            </w:r>
          </w:p>
        </w:tc>
        <w:tc>
          <w:tcPr>
            <w:tcW w:w="5741" w:type="dxa"/>
            <w:tcBorders>
              <w:top w:val="single" w:sz="12" w:space="0" w:color="000000"/>
              <w:left w:val="single" w:sz="4" w:space="0" w:color="000000"/>
              <w:bottom w:val="single" w:sz="4" w:space="0" w:color="000000"/>
              <w:right w:val="single" w:sz="12" w:space="0" w:color="000000"/>
            </w:tcBorders>
            <w:shd w:color="auto" w:fill="FFFFFF" w:val="pct5"/>
          </w:tcPr>
          <w:p>
            <w:pPr>
              <w:pStyle w:val="Normal"/>
              <w:widowControl w:val="false"/>
              <w:jc w:val="center"/>
              <w:rPr>
                <w:rFonts w:ascii="Arial" w:hAnsi="Arial" w:cs="Arial"/>
                <w:b/>
                <w:b/>
                <w:sz w:val="24"/>
                <w:szCs w:val="24"/>
              </w:rPr>
            </w:pPr>
            <w:r>
              <w:rPr>
                <w:rFonts w:cs="Arial" w:ascii="Arial" w:hAnsi="Arial"/>
                <w:b/>
                <w:sz w:val="24"/>
                <w:szCs w:val="24"/>
              </w:rPr>
              <w:t>Hodnocení</w:t>
            </w:r>
          </w:p>
        </w:tc>
      </w:tr>
      <w:tr>
        <w:trPr/>
        <w:tc>
          <w:tcPr>
            <w:tcW w:w="3258" w:type="dxa"/>
            <w:tcBorders>
              <w:left w:val="single" w:sz="12" w:space="0" w:color="000000"/>
              <w:bottom w:val="single" w:sz="12" w:space="0" w:color="000000"/>
              <w:right w:val="single" w:sz="4" w:space="0" w:color="000000"/>
            </w:tcBorders>
          </w:tcPr>
          <w:p>
            <w:pPr>
              <w:pStyle w:val="Nadpis3"/>
              <w:widowControl w:val="false"/>
              <w:spacing w:before="200" w:after="0"/>
              <w:rPr>
                <w:rFonts w:ascii="Arial" w:hAnsi="Arial" w:eastAsia="Times New Roman" w:cs="Arial"/>
                <w:color w:val="auto"/>
                <w:sz w:val="24"/>
                <w:szCs w:val="24"/>
              </w:rPr>
            </w:pPr>
            <w:bookmarkStart w:id="0" w:name="_Toc383034133"/>
            <w:bookmarkStart w:id="1" w:name="_Toc383353004"/>
            <w:bookmarkStart w:id="2" w:name="_Toc383355070"/>
            <w:bookmarkStart w:id="3" w:name="_Toc383461826"/>
            <w:r>
              <w:rPr>
                <w:rFonts w:eastAsia="Times New Roman" w:cs="Arial" w:ascii="Arial" w:hAnsi="Arial"/>
                <w:color w:val="auto"/>
                <w:sz w:val="24"/>
                <w:szCs w:val="24"/>
              </w:rPr>
              <w:t>KO, QUICK (protrombinový čas), APTT (vyšetření koagulace krve), ionty</w:t>
            </w:r>
            <w:bookmarkEnd w:id="0"/>
            <w:bookmarkEnd w:id="1"/>
            <w:bookmarkEnd w:id="2"/>
            <w:bookmarkEnd w:id="3"/>
          </w:p>
          <w:p>
            <w:pPr>
              <w:pStyle w:val="Normal"/>
              <w:widowControl w:val="false"/>
              <w:rPr>
                <w:rFonts w:ascii="Arial" w:hAnsi="Arial" w:cs="Arial"/>
                <w:b/>
                <w:b/>
                <w:sz w:val="24"/>
                <w:szCs w:val="24"/>
              </w:rPr>
            </w:pPr>
            <w:r>
              <w:rPr>
                <w:rFonts w:cs="Arial" w:ascii="Arial" w:hAnsi="Arial"/>
                <w:b/>
                <w:sz w:val="24"/>
                <w:szCs w:val="24"/>
              </w:rPr>
            </w:r>
          </w:p>
        </w:tc>
        <w:tc>
          <w:tcPr>
            <w:tcW w:w="5741" w:type="dxa"/>
            <w:tcBorders>
              <w:left w:val="single" w:sz="4" w:space="0" w:color="000000"/>
              <w:bottom w:val="single" w:sz="12" w:space="0" w:color="000000"/>
              <w:right w:val="single" w:sz="12" w:space="0" w:color="000000"/>
            </w:tcBorders>
          </w:tcPr>
          <w:p>
            <w:pPr>
              <w:pStyle w:val="Normal"/>
              <w:widowControl w:val="false"/>
              <w:ind w:right="-289" w:hanging="0"/>
              <w:rPr>
                <w:rFonts w:ascii="Arial" w:hAnsi="Arial" w:cs="Arial"/>
                <w:sz w:val="24"/>
                <w:szCs w:val="24"/>
              </w:rPr>
            </w:pPr>
            <w:r>
              <w:rPr>
                <w:rFonts w:cs="Arial" w:ascii="Arial" w:hAnsi="Arial"/>
                <w:b/>
                <w:bCs/>
                <w:sz w:val="24"/>
                <w:szCs w:val="24"/>
              </w:rPr>
              <w:t xml:space="preserve">KO </w:t>
            </w:r>
            <w:r>
              <w:rPr>
                <w:rFonts w:cs="Arial" w:ascii="Arial" w:hAnsi="Arial"/>
                <w:sz w:val="24"/>
                <w:szCs w:val="24"/>
              </w:rPr>
              <w:t>– mírné ↑ erytrocytů, trombocytů, leukocytů</w:t>
            </w:r>
          </w:p>
          <w:p>
            <w:pPr>
              <w:pStyle w:val="Normal"/>
              <w:widowControl w:val="false"/>
              <w:ind w:right="-289" w:hanging="0"/>
              <w:rPr>
                <w:rFonts w:ascii="Arial" w:hAnsi="Arial" w:cs="Arial"/>
                <w:sz w:val="24"/>
                <w:szCs w:val="24"/>
              </w:rPr>
            </w:pPr>
            <w:r>
              <w:rPr>
                <w:rFonts w:cs="Arial" w:ascii="Arial" w:hAnsi="Arial"/>
                <w:b/>
                <w:bCs/>
                <w:sz w:val="24"/>
                <w:szCs w:val="24"/>
              </w:rPr>
              <w:t xml:space="preserve">QUICK </w:t>
            </w:r>
            <w:r>
              <w:rPr>
                <w:rFonts w:cs="Arial" w:ascii="Arial" w:hAnsi="Arial"/>
                <w:sz w:val="24"/>
                <w:szCs w:val="24"/>
              </w:rPr>
              <w:t>- norma</w:t>
            </w:r>
          </w:p>
          <w:p>
            <w:pPr>
              <w:pStyle w:val="Normal"/>
              <w:widowControl w:val="false"/>
              <w:ind w:right="-289" w:hanging="0"/>
              <w:rPr>
                <w:rFonts w:ascii="Arial" w:hAnsi="Arial" w:cs="Arial"/>
                <w:sz w:val="24"/>
                <w:szCs w:val="24"/>
              </w:rPr>
            </w:pPr>
            <w:r>
              <w:rPr>
                <w:rFonts w:cs="Arial" w:ascii="Arial" w:hAnsi="Arial"/>
                <w:b/>
                <w:bCs/>
                <w:sz w:val="24"/>
                <w:szCs w:val="24"/>
              </w:rPr>
              <w:t xml:space="preserve">APTT </w:t>
            </w:r>
            <w:r>
              <w:rPr>
                <w:rFonts w:cs="Arial" w:ascii="Arial" w:hAnsi="Arial"/>
                <w:sz w:val="24"/>
                <w:szCs w:val="24"/>
              </w:rPr>
              <w:t>- norma</w:t>
            </w:r>
          </w:p>
          <w:p>
            <w:pPr>
              <w:pStyle w:val="Normal"/>
              <w:widowControl w:val="false"/>
              <w:ind w:right="-289" w:hanging="0"/>
              <w:rPr>
                <w:rFonts w:ascii="Arial" w:hAnsi="Arial" w:cs="Arial"/>
                <w:sz w:val="24"/>
                <w:szCs w:val="24"/>
              </w:rPr>
            </w:pPr>
            <w:r>
              <w:rPr>
                <w:rFonts w:cs="Arial" w:ascii="Arial" w:hAnsi="Arial"/>
                <w:b/>
                <w:bCs/>
                <w:sz w:val="24"/>
                <w:szCs w:val="24"/>
              </w:rPr>
              <w:t xml:space="preserve">Ionty </w:t>
            </w:r>
            <w:r>
              <w:rPr>
                <w:rFonts w:cs="Arial" w:ascii="Arial" w:hAnsi="Arial"/>
                <w:sz w:val="24"/>
                <w:szCs w:val="24"/>
              </w:rPr>
              <w:t>- norma</w:t>
            </w:r>
          </w:p>
          <w:p>
            <w:pPr>
              <w:pStyle w:val="Normal"/>
              <w:widowControl w:val="false"/>
              <w:rPr>
                <w:rFonts w:ascii="Arial" w:hAnsi="Arial" w:cs="Arial"/>
                <w:sz w:val="24"/>
                <w:szCs w:val="24"/>
              </w:rPr>
            </w:pPr>
            <w:r>
              <w:rPr>
                <w:rFonts w:cs="Arial" w:ascii="Arial" w:hAnsi="Arial"/>
                <w:sz w:val="24"/>
                <w:szCs w:val="24"/>
              </w:rPr>
            </w:r>
          </w:p>
        </w:tc>
      </w:tr>
    </w:tbl>
    <w:p>
      <w:pPr>
        <w:pStyle w:val="Normal"/>
        <w:ind w:left="142" w:hanging="0"/>
        <w:rPr>
          <w:rFonts w:ascii="Arial" w:hAnsi="Arial" w:cs="Arial"/>
          <w:b/>
          <w:b/>
          <w:color w:val="0000FF"/>
          <w:sz w:val="24"/>
          <w:szCs w:val="24"/>
        </w:rPr>
      </w:pPr>
      <w:r>
        <w:rPr>
          <w:rFonts w:cs="Arial" w:ascii="Arial" w:hAnsi="Arial"/>
          <w:b/>
          <w:color w:val="0000FF"/>
          <w:sz w:val="24"/>
          <w:szCs w:val="24"/>
        </w:rPr>
      </w:r>
    </w:p>
    <w:p>
      <w:pPr>
        <w:pStyle w:val="Nadpis1"/>
        <w:ind w:left="142" w:hanging="0"/>
        <w:rPr>
          <w:rFonts w:cs="Arial"/>
          <w:color w:val="0000FF"/>
          <w:szCs w:val="24"/>
        </w:rPr>
      </w:pPr>
      <w:r>
        <w:rPr>
          <w:rFonts w:cs="Arial"/>
          <w:color w:val="0000FF"/>
          <w:szCs w:val="24"/>
        </w:rPr>
        <w:t xml:space="preserve">Fyzikální vyšetření </w:t>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3258"/>
        <w:gridCol w:w="5741"/>
      </w:tblGrid>
      <w:tr>
        <w:trPr/>
        <w:tc>
          <w:tcPr>
            <w:tcW w:w="3258" w:type="dxa"/>
            <w:tcBorders>
              <w:top w:val="single" w:sz="12" w:space="0" w:color="000000"/>
              <w:left w:val="single" w:sz="12" w:space="0" w:color="000000"/>
              <w:bottom w:val="single" w:sz="12" w:space="0" w:color="000000"/>
              <w:right w:val="single" w:sz="12" w:space="0" w:color="000000"/>
            </w:tcBorders>
            <w:shd w:color="auto" w:fill="FFFFFF" w:val="pct5"/>
          </w:tcPr>
          <w:p>
            <w:pPr>
              <w:pStyle w:val="Normal"/>
              <w:widowControl w:val="false"/>
              <w:jc w:val="center"/>
              <w:rPr>
                <w:rFonts w:ascii="Arial" w:hAnsi="Arial" w:cs="Arial"/>
                <w:b/>
                <w:b/>
                <w:sz w:val="24"/>
                <w:szCs w:val="24"/>
              </w:rPr>
            </w:pPr>
            <w:r>
              <w:rPr>
                <w:rFonts w:cs="Arial" w:ascii="Arial" w:hAnsi="Arial"/>
                <w:b/>
                <w:sz w:val="24"/>
                <w:szCs w:val="24"/>
              </w:rPr>
              <w:t>Systém</w:t>
            </w:r>
          </w:p>
        </w:tc>
        <w:tc>
          <w:tcPr>
            <w:tcW w:w="5741" w:type="dxa"/>
            <w:tcBorders>
              <w:top w:val="single" w:sz="12" w:space="0" w:color="000000"/>
              <w:left w:val="single" w:sz="12" w:space="0" w:color="000000"/>
              <w:bottom w:val="single" w:sz="12" w:space="0" w:color="000000"/>
              <w:right w:val="single" w:sz="12" w:space="0" w:color="000000"/>
            </w:tcBorders>
            <w:shd w:color="auto" w:fill="FFFFFF" w:val="pct5"/>
          </w:tcPr>
          <w:p>
            <w:pPr>
              <w:pStyle w:val="Normal"/>
              <w:widowControl w:val="false"/>
              <w:jc w:val="center"/>
              <w:rPr>
                <w:rFonts w:ascii="Arial" w:hAnsi="Arial" w:cs="Arial"/>
                <w:b/>
                <w:b/>
                <w:sz w:val="24"/>
                <w:szCs w:val="24"/>
              </w:rPr>
            </w:pPr>
            <w:r>
              <w:rPr>
                <w:rFonts w:cs="Arial" w:ascii="Arial" w:hAnsi="Arial"/>
                <w:b/>
                <w:sz w:val="24"/>
                <w:szCs w:val="24"/>
              </w:rPr>
              <w:t>Hodnocení</w:t>
            </w:r>
          </w:p>
        </w:tc>
      </w:tr>
      <w:tr>
        <w:trPr/>
        <w:tc>
          <w:tcPr>
            <w:tcW w:w="3258" w:type="dxa"/>
            <w:tcBorders>
              <w:top w:val="single" w:sz="12" w:space="0" w:color="000000"/>
              <w:left w:val="single" w:sz="12" w:space="0" w:color="000000"/>
              <w:bottom w:val="single" w:sz="2" w:space="0" w:color="000000"/>
              <w:right w:val="single" w:sz="2" w:space="0" w:color="000000"/>
            </w:tcBorders>
          </w:tcPr>
          <w:p>
            <w:pPr>
              <w:pStyle w:val="Normal"/>
              <w:widowControl w:val="false"/>
              <w:rPr>
                <w:rFonts w:ascii="Arial" w:hAnsi="Arial" w:cs="Arial"/>
                <w:b/>
                <w:b/>
                <w:sz w:val="24"/>
                <w:szCs w:val="24"/>
              </w:rPr>
            </w:pPr>
            <w:r>
              <w:rPr>
                <w:rFonts w:cs="Arial" w:ascii="Arial" w:hAnsi="Arial"/>
                <w:b/>
                <w:sz w:val="24"/>
                <w:szCs w:val="24"/>
              </w:rPr>
              <w:t>Hlava a krk:</w:t>
            </w:r>
          </w:p>
          <w:p>
            <w:pPr>
              <w:pStyle w:val="Nadpis3"/>
              <w:widowControl w:val="false"/>
              <w:rPr>
                <w:rFonts w:ascii="Arial" w:hAnsi="Arial" w:eastAsia="Times New Roman" w:cs="Arial"/>
                <w:b w:val="false"/>
                <w:b w:val="false"/>
                <w:sz w:val="24"/>
                <w:szCs w:val="24"/>
              </w:rPr>
            </w:pPr>
            <w:r>
              <w:rPr>
                <w:rFonts w:eastAsia="Times New Roman" w:cs="Arial" w:ascii="Arial" w:hAnsi="Arial"/>
                <w:b w:val="false"/>
                <w:sz w:val="24"/>
                <w:szCs w:val="24"/>
              </w:rPr>
            </w:r>
          </w:p>
        </w:tc>
        <w:tc>
          <w:tcPr>
            <w:tcW w:w="5741" w:type="dxa"/>
            <w:tcBorders>
              <w:top w:val="single" w:sz="12" w:space="0" w:color="000000"/>
              <w:left w:val="single" w:sz="2" w:space="0" w:color="000000"/>
              <w:bottom w:val="single" w:sz="2"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lebka normocefalická, nebolestivá, příušní žláza nezvětšená, spojivky růžové bez zánětu, skléry bílé, zornice izokorické, jazyk růžový, štítná žláza nezvětšená, slyší dobře, používá zubní protézu, brýle nepoužívá, naslouchací přístroj nepoužívá</w:t>
            </w:r>
          </w:p>
        </w:tc>
      </w:tr>
      <w:tr>
        <w:trPr/>
        <w:tc>
          <w:tcPr>
            <w:tcW w:w="3258" w:type="dxa"/>
            <w:tcBorders>
              <w:top w:val="single" w:sz="2" w:space="0" w:color="000000"/>
              <w:left w:val="single" w:sz="12" w:space="0" w:color="000000"/>
              <w:bottom w:val="single" w:sz="2" w:space="0" w:color="000000"/>
              <w:right w:val="single" w:sz="2" w:space="0" w:color="000000"/>
            </w:tcBorders>
          </w:tcPr>
          <w:p>
            <w:pPr>
              <w:pStyle w:val="Normal"/>
              <w:widowControl w:val="false"/>
              <w:rPr>
                <w:rFonts w:ascii="Arial" w:hAnsi="Arial" w:cs="Arial"/>
                <w:b/>
                <w:b/>
                <w:sz w:val="24"/>
                <w:szCs w:val="24"/>
              </w:rPr>
            </w:pPr>
            <w:r>
              <w:rPr>
                <w:rFonts w:cs="Arial" w:ascii="Arial" w:hAnsi="Arial"/>
                <w:b/>
                <w:sz w:val="24"/>
                <w:szCs w:val="24"/>
              </w:rPr>
              <w:t>Hrudník a dýchací systém:</w:t>
            </w:r>
          </w:p>
          <w:p>
            <w:pPr>
              <w:pStyle w:val="Nadpis3"/>
              <w:widowControl w:val="false"/>
              <w:rPr>
                <w:rFonts w:ascii="Arial" w:hAnsi="Arial" w:eastAsia="Times New Roman" w:cs="Arial"/>
                <w:b w:val="false"/>
                <w:b w:val="false"/>
                <w:sz w:val="24"/>
                <w:szCs w:val="24"/>
              </w:rPr>
            </w:pPr>
            <w:r>
              <w:rPr>
                <w:rFonts w:eastAsia="Times New Roman" w:cs="Arial" w:ascii="Arial" w:hAnsi="Arial"/>
                <w:b w:val="false"/>
                <w:sz w:val="24"/>
                <w:szCs w:val="24"/>
              </w:rPr>
            </w:r>
          </w:p>
        </w:tc>
        <w:tc>
          <w:tcPr>
            <w:tcW w:w="5741" w:type="dxa"/>
            <w:tcBorders>
              <w:top w:val="single" w:sz="2" w:space="0" w:color="000000"/>
              <w:left w:val="single" w:sz="2" w:space="0" w:color="000000"/>
              <w:bottom w:val="single" w:sz="2"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hrudník astenický, poklep nad plícemi plný jasný, dýchání čisté, sklípkové, prsa bez patologických změn, počet dechů 18/min., pravidelné</w:t>
            </w:r>
          </w:p>
        </w:tc>
      </w:tr>
      <w:tr>
        <w:trPr/>
        <w:tc>
          <w:tcPr>
            <w:tcW w:w="3258" w:type="dxa"/>
            <w:tcBorders>
              <w:top w:val="single" w:sz="2" w:space="0" w:color="000000"/>
              <w:left w:val="single" w:sz="12" w:space="0" w:color="000000"/>
              <w:bottom w:val="single" w:sz="2" w:space="0" w:color="000000"/>
              <w:right w:val="single" w:sz="2" w:space="0" w:color="000000"/>
            </w:tcBorders>
          </w:tcPr>
          <w:p>
            <w:pPr>
              <w:pStyle w:val="Normal"/>
              <w:widowControl w:val="false"/>
              <w:rPr>
                <w:rFonts w:ascii="Arial" w:hAnsi="Arial" w:cs="Arial"/>
                <w:b/>
                <w:b/>
                <w:sz w:val="24"/>
                <w:szCs w:val="24"/>
              </w:rPr>
            </w:pPr>
            <w:r>
              <w:rPr>
                <w:rFonts w:cs="Arial" w:ascii="Arial" w:hAnsi="Arial"/>
                <w:b/>
                <w:sz w:val="24"/>
                <w:szCs w:val="24"/>
              </w:rPr>
              <w:t>Srdeční a cévní systém:</w:t>
            </w:r>
          </w:p>
          <w:p>
            <w:pPr>
              <w:pStyle w:val="Nadpis3"/>
              <w:widowControl w:val="false"/>
              <w:rPr>
                <w:rFonts w:ascii="Arial" w:hAnsi="Arial" w:eastAsia="Times New Roman" w:cs="Arial"/>
                <w:b w:val="false"/>
                <w:b w:val="false"/>
                <w:sz w:val="24"/>
                <w:szCs w:val="24"/>
              </w:rPr>
            </w:pPr>
            <w:r>
              <w:rPr>
                <w:rFonts w:eastAsia="Times New Roman" w:cs="Arial" w:ascii="Arial" w:hAnsi="Arial"/>
                <w:b w:val="false"/>
                <w:sz w:val="24"/>
                <w:szCs w:val="24"/>
              </w:rPr>
            </w:r>
          </w:p>
        </w:tc>
        <w:tc>
          <w:tcPr>
            <w:tcW w:w="5741" w:type="dxa"/>
            <w:tcBorders>
              <w:top w:val="single" w:sz="2" w:space="0" w:color="000000"/>
              <w:left w:val="single" w:sz="2" w:space="0" w:color="000000"/>
              <w:bottom w:val="single" w:sz="2"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srdeční akce pravidelná, frekvence 74/min., TK (tlak krve) 110/70 mmHg., puls dobře hmatný</w:t>
            </w:r>
          </w:p>
        </w:tc>
      </w:tr>
      <w:tr>
        <w:trPr/>
        <w:tc>
          <w:tcPr>
            <w:tcW w:w="3258" w:type="dxa"/>
            <w:tcBorders>
              <w:top w:val="single" w:sz="2" w:space="0" w:color="000000"/>
              <w:left w:val="single" w:sz="12" w:space="0" w:color="000000"/>
              <w:bottom w:val="single" w:sz="2" w:space="0" w:color="000000"/>
              <w:right w:val="single" w:sz="2" w:space="0" w:color="000000"/>
            </w:tcBorders>
          </w:tcPr>
          <w:p>
            <w:pPr>
              <w:pStyle w:val="Normal"/>
              <w:widowControl w:val="false"/>
              <w:rPr>
                <w:rFonts w:ascii="Arial" w:hAnsi="Arial" w:cs="Arial"/>
                <w:b/>
                <w:b/>
                <w:sz w:val="24"/>
                <w:szCs w:val="24"/>
              </w:rPr>
            </w:pPr>
            <w:r>
              <w:rPr>
                <w:rFonts w:cs="Arial" w:ascii="Arial" w:hAnsi="Arial"/>
                <w:b/>
                <w:sz w:val="24"/>
                <w:szCs w:val="24"/>
              </w:rPr>
              <w:t>Břicho a gastrointestinální trakt:</w:t>
            </w:r>
          </w:p>
          <w:p>
            <w:pPr>
              <w:pStyle w:val="Nadpis3"/>
              <w:widowControl w:val="false"/>
              <w:rPr>
                <w:rFonts w:ascii="Arial" w:hAnsi="Arial" w:eastAsia="Times New Roman" w:cs="Arial"/>
                <w:b w:val="false"/>
                <w:b w:val="false"/>
                <w:sz w:val="24"/>
                <w:szCs w:val="24"/>
              </w:rPr>
            </w:pPr>
            <w:r>
              <w:rPr>
                <w:rFonts w:eastAsia="Times New Roman" w:cs="Arial" w:ascii="Arial" w:hAnsi="Arial"/>
                <w:b w:val="false"/>
                <w:sz w:val="24"/>
                <w:szCs w:val="24"/>
              </w:rPr>
            </w:r>
          </w:p>
        </w:tc>
        <w:tc>
          <w:tcPr>
            <w:tcW w:w="5741" w:type="dxa"/>
            <w:tcBorders>
              <w:top w:val="single" w:sz="2" w:space="0" w:color="000000"/>
              <w:left w:val="single" w:sz="2" w:space="0" w:color="000000"/>
              <w:bottom w:val="single" w:sz="2"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 xml:space="preserve">břicho na dotyk nebolestivé, klidná jizva po CHCE (cholecystektomie), břicho pod </w:t>
            </w:r>
            <w:r>
              <w:rPr>
                <w:rFonts w:cs="Arial" w:ascii="Arial" w:hAnsi="Arial"/>
                <w:bCs/>
                <w:sz w:val="24"/>
                <w:szCs w:val="24"/>
              </w:rPr>
              <w:t>niveau, vyšetření per rectum odmítá, peristaltika auskultačně přítomná, normální odchod plynů</w:t>
            </w:r>
          </w:p>
        </w:tc>
      </w:tr>
      <w:tr>
        <w:trPr/>
        <w:tc>
          <w:tcPr>
            <w:tcW w:w="3258" w:type="dxa"/>
            <w:tcBorders>
              <w:top w:val="single" w:sz="2" w:space="0" w:color="000000"/>
              <w:left w:val="single" w:sz="12" w:space="0" w:color="000000"/>
              <w:bottom w:val="single" w:sz="2" w:space="0" w:color="000000"/>
              <w:right w:val="single" w:sz="2" w:space="0" w:color="000000"/>
            </w:tcBorders>
          </w:tcPr>
          <w:p>
            <w:pPr>
              <w:pStyle w:val="Normal"/>
              <w:widowControl w:val="false"/>
              <w:rPr>
                <w:rFonts w:ascii="Arial" w:hAnsi="Arial" w:cs="Arial"/>
                <w:b/>
                <w:b/>
                <w:bCs/>
                <w:sz w:val="24"/>
                <w:szCs w:val="24"/>
              </w:rPr>
            </w:pPr>
            <w:r>
              <w:rPr>
                <w:rFonts w:cs="Arial" w:ascii="Arial" w:hAnsi="Arial"/>
                <w:b/>
                <w:bCs/>
                <w:sz w:val="24"/>
                <w:szCs w:val="24"/>
              </w:rPr>
              <w:t>Kosterní a svalový systém:</w:t>
            </w:r>
          </w:p>
          <w:p>
            <w:pPr>
              <w:pStyle w:val="Nadpis3"/>
              <w:widowControl w:val="false"/>
              <w:rPr>
                <w:rFonts w:ascii="Arial" w:hAnsi="Arial" w:eastAsia="Times New Roman" w:cs="Arial"/>
                <w:b w:val="false"/>
                <w:b w:val="false"/>
                <w:sz w:val="24"/>
                <w:szCs w:val="24"/>
              </w:rPr>
            </w:pPr>
            <w:r>
              <w:rPr>
                <w:rFonts w:eastAsia="Times New Roman" w:cs="Arial" w:ascii="Arial" w:hAnsi="Arial"/>
                <w:b w:val="false"/>
                <w:sz w:val="24"/>
                <w:szCs w:val="24"/>
              </w:rPr>
            </w:r>
          </w:p>
        </w:tc>
        <w:tc>
          <w:tcPr>
            <w:tcW w:w="5741" w:type="dxa"/>
            <w:tcBorders>
              <w:top w:val="single" w:sz="2" w:space="0" w:color="000000"/>
              <w:left w:val="single" w:sz="2" w:space="0" w:color="000000"/>
              <w:bottom w:val="single" w:sz="2" w:space="0" w:color="000000"/>
              <w:right w:val="single" w:sz="12" w:space="0" w:color="000000"/>
            </w:tcBorders>
          </w:tcPr>
          <w:p>
            <w:pPr>
              <w:pStyle w:val="Normal"/>
              <w:widowControl w:val="false"/>
              <w:rPr>
                <w:rFonts w:ascii="Arial" w:hAnsi="Arial" w:cs="Arial"/>
                <w:sz w:val="24"/>
                <w:szCs w:val="24"/>
              </w:rPr>
            </w:pPr>
            <w:r>
              <w:rPr>
                <w:rFonts w:cs="Arial" w:ascii="Arial" w:hAnsi="Arial"/>
                <w:bCs/>
                <w:sz w:val="24"/>
                <w:szCs w:val="24"/>
              </w:rPr>
              <w:t>poloha pasivní, pohyblivost omezená, páteř bez patologických změn, klouby bez patologie, pravá dolní končetina bez změn, l</w:t>
            </w:r>
            <w:r>
              <w:rPr>
                <w:rFonts w:cs="Arial" w:ascii="Arial" w:hAnsi="Arial"/>
                <w:sz w:val="24"/>
                <w:szCs w:val="24"/>
              </w:rPr>
              <w:t xml:space="preserve">evá dolní končetina </w:t>
            </w:r>
            <w:r>
              <w:rPr>
                <w:rFonts w:cs="Arial" w:ascii="Arial" w:hAnsi="Arial"/>
                <w:bCs/>
                <w:sz w:val="24"/>
                <w:szCs w:val="24"/>
              </w:rPr>
              <w:t>vlhká gangréna</w:t>
            </w:r>
          </w:p>
        </w:tc>
      </w:tr>
      <w:tr>
        <w:trPr/>
        <w:tc>
          <w:tcPr>
            <w:tcW w:w="3258" w:type="dxa"/>
            <w:tcBorders>
              <w:top w:val="single" w:sz="2" w:space="0" w:color="000000"/>
              <w:left w:val="single" w:sz="12" w:space="0" w:color="000000"/>
              <w:bottom w:val="single" w:sz="2" w:space="0" w:color="000000"/>
              <w:right w:val="single" w:sz="2" w:space="0" w:color="000000"/>
            </w:tcBorders>
          </w:tcPr>
          <w:p>
            <w:pPr>
              <w:pStyle w:val="Normal"/>
              <w:widowControl w:val="false"/>
              <w:rPr>
                <w:rFonts w:ascii="Arial" w:hAnsi="Arial" w:cs="Arial"/>
                <w:b/>
                <w:b/>
                <w:bCs/>
                <w:sz w:val="24"/>
                <w:szCs w:val="24"/>
              </w:rPr>
            </w:pPr>
            <w:r>
              <w:rPr>
                <w:rFonts w:cs="Arial" w:ascii="Arial" w:hAnsi="Arial"/>
                <w:b/>
                <w:bCs/>
                <w:sz w:val="24"/>
                <w:szCs w:val="24"/>
              </w:rPr>
              <w:t>Nervový a smyslový systém:</w:t>
            </w:r>
          </w:p>
          <w:p>
            <w:pPr>
              <w:pStyle w:val="Normal"/>
              <w:widowControl w:val="false"/>
              <w:ind w:left="567" w:hanging="0"/>
              <w:rPr>
                <w:rFonts w:ascii="Arial" w:hAnsi="Arial" w:cs="Arial"/>
                <w:b/>
                <w:b/>
                <w:bCs/>
                <w:sz w:val="24"/>
                <w:szCs w:val="24"/>
              </w:rPr>
            </w:pPr>
            <w:r>
              <w:rPr>
                <w:rFonts w:cs="Arial" w:ascii="Arial" w:hAnsi="Arial"/>
                <w:b/>
                <w:bCs/>
                <w:sz w:val="24"/>
                <w:szCs w:val="24"/>
              </w:rPr>
            </w:r>
          </w:p>
        </w:tc>
        <w:tc>
          <w:tcPr>
            <w:tcW w:w="5741" w:type="dxa"/>
            <w:tcBorders>
              <w:top w:val="single" w:sz="2" w:space="0" w:color="000000"/>
              <w:left w:val="single" w:sz="2" w:space="0" w:color="000000"/>
              <w:bottom w:val="single" w:sz="2" w:space="0" w:color="000000"/>
              <w:right w:val="single" w:sz="12" w:space="0" w:color="000000"/>
            </w:tcBorders>
          </w:tcPr>
          <w:p>
            <w:pPr>
              <w:pStyle w:val="Normal"/>
              <w:widowControl w:val="false"/>
              <w:rPr>
                <w:rFonts w:ascii="Arial" w:hAnsi="Arial" w:cs="Arial"/>
                <w:bCs/>
                <w:sz w:val="24"/>
                <w:szCs w:val="24"/>
              </w:rPr>
            </w:pPr>
            <w:r>
              <w:rPr>
                <w:rFonts w:cs="Arial" w:ascii="Arial" w:hAnsi="Arial"/>
                <w:bCs/>
                <w:sz w:val="24"/>
                <w:szCs w:val="24"/>
              </w:rPr>
              <w:t>při vědomí, orientována místem, časem, osobou a prostředím, čich a sluch bez patologie, pacientka je krátkozraká</w:t>
            </w:r>
          </w:p>
        </w:tc>
      </w:tr>
      <w:tr>
        <w:trPr/>
        <w:tc>
          <w:tcPr>
            <w:tcW w:w="3258" w:type="dxa"/>
            <w:tcBorders>
              <w:top w:val="single" w:sz="2" w:space="0" w:color="000000"/>
              <w:left w:val="single" w:sz="12" w:space="0" w:color="000000"/>
              <w:bottom w:val="single" w:sz="12" w:space="0" w:color="000000"/>
              <w:right w:val="single" w:sz="2" w:space="0" w:color="000000"/>
            </w:tcBorders>
          </w:tcPr>
          <w:p>
            <w:pPr>
              <w:pStyle w:val="Normal"/>
              <w:widowControl w:val="false"/>
              <w:rPr>
                <w:rFonts w:ascii="Arial" w:hAnsi="Arial" w:cs="Arial"/>
                <w:b/>
                <w:b/>
                <w:bCs/>
                <w:sz w:val="24"/>
                <w:szCs w:val="24"/>
              </w:rPr>
            </w:pPr>
            <w:r>
              <w:rPr>
                <w:rFonts w:cs="Arial" w:ascii="Arial" w:hAnsi="Arial"/>
                <w:b/>
                <w:bCs/>
                <w:sz w:val="24"/>
                <w:szCs w:val="24"/>
              </w:rPr>
              <w:t>Kůže a její adnexa:</w:t>
            </w:r>
          </w:p>
          <w:p>
            <w:pPr>
              <w:pStyle w:val="Nadpis3"/>
              <w:widowControl w:val="false"/>
              <w:rPr>
                <w:rFonts w:ascii="Arial" w:hAnsi="Arial" w:eastAsia="Times New Roman" w:cs="Arial"/>
                <w:b w:val="false"/>
                <w:b w:val="false"/>
                <w:sz w:val="24"/>
                <w:szCs w:val="24"/>
              </w:rPr>
            </w:pPr>
            <w:r>
              <w:rPr>
                <w:rFonts w:eastAsia="Times New Roman" w:cs="Arial" w:ascii="Arial" w:hAnsi="Arial"/>
                <w:b w:val="false"/>
                <w:sz w:val="24"/>
                <w:szCs w:val="24"/>
              </w:rPr>
            </w:r>
          </w:p>
        </w:tc>
        <w:tc>
          <w:tcPr>
            <w:tcW w:w="5741" w:type="dxa"/>
            <w:tcBorders>
              <w:top w:val="single" w:sz="2" w:space="0" w:color="000000"/>
              <w:left w:val="single" w:sz="2" w:space="0" w:color="000000"/>
              <w:bottom w:val="single" w:sz="12" w:space="0" w:color="000000"/>
              <w:right w:val="single" w:sz="12" w:space="0" w:color="000000"/>
            </w:tcBorders>
          </w:tcPr>
          <w:p>
            <w:pPr>
              <w:pStyle w:val="Normal"/>
              <w:widowControl w:val="false"/>
              <w:ind w:right="-289" w:hanging="0"/>
              <w:rPr>
                <w:rFonts w:ascii="Arial" w:hAnsi="Arial" w:cs="Arial"/>
                <w:sz w:val="24"/>
                <w:szCs w:val="24"/>
              </w:rPr>
            </w:pPr>
            <w:r>
              <w:rPr>
                <w:rFonts w:cs="Arial" w:ascii="Arial" w:hAnsi="Arial"/>
                <w:bCs/>
                <w:sz w:val="24"/>
                <w:szCs w:val="24"/>
              </w:rPr>
              <w:t>kůže bez ikteru a cyanózy, šupinatá kůže na dorsu rukou a tvářích, turgor normální, nepřítomné otoky, nepřítomné dekubity, jizva na břichu klidná</w:t>
            </w:r>
          </w:p>
        </w:tc>
      </w:tr>
    </w:tbl>
    <w:p>
      <w:pPr>
        <w:pStyle w:val="Normal"/>
        <w:ind w:left="567" w:hanging="0"/>
        <w:rPr/>
      </w:pPr>
      <w:r>
        <w:rPr/>
      </w:r>
    </w:p>
    <w:p>
      <w:pPr>
        <w:pStyle w:val="Normal"/>
        <w:ind w:left="142" w:hanging="0"/>
        <w:rPr>
          <w:rFonts w:ascii="Arial" w:hAnsi="Arial" w:cs="Arial"/>
          <w:b/>
          <w:b/>
          <w:color w:val="0000FF"/>
          <w:sz w:val="24"/>
          <w:szCs w:val="24"/>
        </w:rPr>
      </w:pPr>
      <w:r>
        <w:rPr>
          <w:rFonts w:cs="Arial" w:ascii="Arial" w:hAnsi="Arial"/>
          <w:b/>
          <w:color w:val="0000FF"/>
          <w:sz w:val="24"/>
          <w:szCs w:val="24"/>
        </w:rPr>
        <w:t>Terapie</w:t>
      </w:r>
    </w:p>
    <w:tbl>
      <w:tblPr>
        <w:tblW w:w="8998"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2693"/>
        <w:gridCol w:w="6304"/>
      </w:tblGrid>
      <w:tr>
        <w:trPr/>
        <w:tc>
          <w:tcPr>
            <w:tcW w:w="2693" w:type="dxa"/>
            <w:tcBorders>
              <w:top w:val="single" w:sz="12"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Konzervativní léčba</w:t>
            </w:r>
          </w:p>
        </w:tc>
        <w:tc>
          <w:tcPr>
            <w:tcW w:w="6304" w:type="dxa"/>
            <w:tcBorders>
              <w:top w:val="single" w:sz="12" w:space="0" w:color="000000"/>
              <w:left w:val="single" w:sz="4" w:space="0" w:color="000000"/>
              <w:bottom w:val="single" w:sz="4" w:space="0" w:color="000000"/>
              <w:right w:val="single" w:sz="12" w:space="0" w:color="000000"/>
            </w:tcBorders>
          </w:tcPr>
          <w:p>
            <w:pPr>
              <w:pStyle w:val="Zhlav"/>
              <w:widowControl w:val="false"/>
              <w:tabs>
                <w:tab w:val="clear" w:pos="4536"/>
                <w:tab w:val="clear" w:pos="9072"/>
                <w:tab w:val="left" w:pos="2765" w:leader="none"/>
              </w:tabs>
              <w:rPr>
                <w:rFonts w:ascii="Arial" w:hAnsi="Arial" w:cs="Arial"/>
                <w:sz w:val="24"/>
                <w:szCs w:val="24"/>
              </w:rPr>
            </w:pPr>
            <w:r>
              <w:rPr>
                <w:rFonts w:cs="Arial" w:ascii="Arial" w:hAnsi="Arial"/>
                <w:sz w:val="24"/>
                <w:szCs w:val="24"/>
              </w:rPr>
            </w:r>
          </w:p>
        </w:tc>
      </w:tr>
      <w:tr>
        <w:trPr>
          <w:cantSplit w:val="true"/>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Dietoterapie</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bCs/>
                <w:sz w:val="24"/>
                <w:szCs w:val="24"/>
              </w:rPr>
              <w:t>Dieta:</w:t>
            </w:r>
            <w:r>
              <w:rPr>
                <w:rFonts w:cs="Arial" w:ascii="Arial" w:hAnsi="Arial"/>
                <w:sz w:val="24"/>
                <w:szCs w:val="24"/>
              </w:rPr>
              <w:t xml:space="preserve"> 3 - racionální</w:t>
            </w:r>
          </w:p>
          <w:p>
            <w:pPr>
              <w:pStyle w:val="Normal"/>
              <w:widowControl w:val="false"/>
              <w:ind w:right="-289" w:hanging="0"/>
              <w:rPr>
                <w:rFonts w:ascii="Arial" w:hAnsi="Arial" w:cs="Arial"/>
                <w:sz w:val="24"/>
                <w:szCs w:val="24"/>
              </w:rPr>
            </w:pPr>
            <w:r>
              <w:rPr>
                <w:rFonts w:cs="Arial" w:ascii="Arial" w:hAnsi="Arial"/>
                <w:b/>
                <w:bCs/>
                <w:sz w:val="24"/>
                <w:szCs w:val="24"/>
              </w:rPr>
              <w:t>Výživa:</w:t>
            </w:r>
            <w:r>
              <w:rPr>
                <w:rFonts w:cs="Arial" w:ascii="Arial" w:hAnsi="Arial"/>
                <w:sz w:val="24"/>
                <w:szCs w:val="24"/>
              </w:rPr>
              <w:t xml:space="preserve"> per os (skrze ústa)</w:t>
            </w:r>
          </w:p>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Pohybový režim</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bCs/>
                <w:sz w:val="24"/>
                <w:szCs w:val="24"/>
              </w:rPr>
              <w:t>Pohybový režim:</w:t>
            </w:r>
            <w:r>
              <w:rPr>
                <w:rFonts w:cs="Arial" w:ascii="Arial" w:hAnsi="Arial"/>
                <w:sz w:val="24"/>
                <w:szCs w:val="24"/>
              </w:rPr>
              <w:t xml:space="preserve"> klidový režim</w:t>
            </w:r>
          </w:p>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Fyzioterapie</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b/>
                <w:bCs/>
                <w:sz w:val="24"/>
                <w:szCs w:val="24"/>
              </w:rPr>
              <w:t>Rehabilitace:</w:t>
            </w:r>
            <w:r>
              <w:rPr>
                <w:rFonts w:cs="Arial" w:ascii="Arial" w:hAnsi="Arial"/>
                <w:sz w:val="24"/>
                <w:szCs w:val="24"/>
              </w:rPr>
              <w:t xml:space="preserve"> (od 27. 11. 2013) denně</w:t>
            </w:r>
          </w:p>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Medikamentózní léčba</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per os</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Litalir tbl. (1-0-1) - cytostatikum</w:t>
            </w:r>
          </w:p>
          <w:p>
            <w:pPr>
              <w:pStyle w:val="Normal"/>
              <w:widowControl w:val="false"/>
              <w:rPr>
                <w:rFonts w:ascii="Arial" w:hAnsi="Arial" w:cs="Arial"/>
                <w:sz w:val="24"/>
                <w:szCs w:val="24"/>
              </w:rPr>
            </w:pPr>
            <w:r>
              <w:rPr>
                <w:rFonts w:cs="Arial" w:ascii="Arial" w:hAnsi="Arial"/>
                <w:sz w:val="24"/>
                <w:szCs w:val="24"/>
              </w:rPr>
              <w:t>Nitresan 10 mg (1-0-0) - antihypertenzivum</w:t>
            </w:r>
          </w:p>
          <w:p>
            <w:pPr>
              <w:pStyle w:val="Normal"/>
              <w:widowControl w:val="false"/>
              <w:rPr>
                <w:rFonts w:ascii="Arial" w:hAnsi="Arial" w:cs="Arial"/>
                <w:sz w:val="24"/>
                <w:szCs w:val="24"/>
              </w:rPr>
            </w:pPr>
            <w:r>
              <w:rPr>
                <w:rFonts w:cs="Arial" w:ascii="Arial" w:hAnsi="Arial"/>
                <w:sz w:val="24"/>
                <w:szCs w:val="24"/>
              </w:rPr>
              <w:t>Buronil 25 mg (1-0-0) - neuroleptikum</w:t>
            </w:r>
          </w:p>
          <w:p>
            <w:pPr>
              <w:pStyle w:val="Normal"/>
              <w:widowControl w:val="false"/>
              <w:rPr>
                <w:rFonts w:ascii="Arial" w:hAnsi="Arial" w:cs="Arial"/>
                <w:sz w:val="24"/>
                <w:szCs w:val="24"/>
              </w:rPr>
            </w:pPr>
            <w:r>
              <w:rPr>
                <w:rFonts w:cs="Arial" w:ascii="Arial" w:hAnsi="Arial"/>
                <w:sz w:val="24"/>
                <w:szCs w:val="24"/>
              </w:rPr>
            </w:r>
          </w:p>
        </w:tc>
      </w:tr>
      <w:tr>
        <w:trPr>
          <w:trHeight w:val="668" w:hRule="atLeast"/>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s. c., i. v., i. m.</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Augmentin 1,2 mg inj. (injekce) i. v. (intravenózně) (9-17-01 hod.) - ATB</w:t>
            </w:r>
          </w:p>
          <w:p>
            <w:pPr>
              <w:pStyle w:val="Normal"/>
              <w:widowControl w:val="false"/>
              <w:rPr>
                <w:rFonts w:ascii="Arial" w:hAnsi="Arial" w:cs="Arial"/>
                <w:sz w:val="24"/>
                <w:szCs w:val="24"/>
              </w:rPr>
            </w:pPr>
            <w:r>
              <w:rPr>
                <w:rFonts w:cs="Arial" w:ascii="Arial" w:hAnsi="Arial"/>
                <w:sz w:val="24"/>
                <w:szCs w:val="24"/>
              </w:rPr>
              <w:t>Novalgin 1 amp. (ampule) i. v. (6-12-18-24 hod.) - analgetikum</w:t>
            </w:r>
          </w:p>
          <w:p>
            <w:pPr>
              <w:pStyle w:val="Normal"/>
              <w:widowControl w:val="false"/>
              <w:rPr>
                <w:rFonts w:ascii="Arial" w:hAnsi="Arial" w:cs="Arial"/>
                <w:sz w:val="24"/>
                <w:szCs w:val="24"/>
              </w:rPr>
            </w:pPr>
            <w:r>
              <w:rPr>
                <w:rFonts w:cs="Arial" w:ascii="Arial" w:hAnsi="Arial"/>
                <w:sz w:val="24"/>
                <w:szCs w:val="24"/>
              </w:rPr>
              <w:t>Infuze - Ringerfundin 1000 ml (9-15 hod.) - elektrolyty</w:t>
            </w:r>
          </w:p>
          <w:p>
            <w:pPr>
              <w:pStyle w:val="Normal"/>
              <w:widowControl w:val="false"/>
              <w:rPr>
                <w:rFonts w:ascii="Arial" w:hAnsi="Arial" w:cs="Arial"/>
                <w:sz w:val="24"/>
                <w:szCs w:val="24"/>
              </w:rPr>
            </w:pPr>
            <w:r>
              <w:rPr>
                <w:rFonts w:cs="Arial" w:ascii="Arial" w:hAnsi="Arial"/>
                <w:sz w:val="24"/>
                <w:szCs w:val="24"/>
              </w:rPr>
              <w:t>Fragmin 5000 j. s. c. (21 hod.) – antikoagulancium</w:t>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Chirurgická léčba</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t>převaz operační rány denně, nebo podle potřeby – Betadine roztok, sterilní krytí</w:t>
            </w:r>
          </w:p>
        </w:tc>
      </w:tr>
      <w:tr>
        <w:trPr/>
        <w:tc>
          <w:tcPr>
            <w:tcW w:w="2693"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Ostatní medikace</w:t>
            </w:r>
          </w:p>
        </w:tc>
        <w:tc>
          <w:tcPr>
            <w:tcW w:w="63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r>
          </w:p>
        </w:tc>
        <w:tc>
          <w:tcPr>
            <w:tcW w:w="63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4" w:space="0" w:color="000000"/>
              <w:bottom w:val="single" w:sz="12"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Invaze</w:t>
            </w:r>
          </w:p>
        </w:tc>
        <w:tc>
          <w:tcPr>
            <w:tcW w:w="6304" w:type="dxa"/>
            <w:tcBorders>
              <w:top w:val="single" w:sz="4" w:space="0" w:color="000000"/>
              <w:left w:val="single" w:sz="4" w:space="0" w:color="000000"/>
              <w:bottom w:val="single" w:sz="12"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t>PŽK 20 G (růžová) 1 den</w:t>
            </w:r>
          </w:p>
          <w:p>
            <w:pPr>
              <w:pStyle w:val="Normal"/>
              <w:widowControl w:val="false"/>
              <w:rPr>
                <w:rFonts w:ascii="Arial" w:hAnsi="Arial" w:cs="Arial"/>
                <w:sz w:val="26"/>
                <w:szCs w:val="24"/>
              </w:rPr>
            </w:pPr>
            <w:r>
              <w:rPr>
                <w:rFonts w:cs="Arial" w:ascii="Arial" w:hAnsi="Arial"/>
                <w:sz w:val="24"/>
                <w:szCs w:val="24"/>
              </w:rPr>
              <w:t xml:space="preserve">PMK </w:t>
            </w:r>
            <w:r>
              <w:rPr>
                <w:rFonts w:cs="Arial" w:ascii="Arial" w:hAnsi="Arial"/>
                <w:sz w:val="26"/>
                <w:szCs w:val="24"/>
              </w:rPr>
              <w:t>1. den</w:t>
            </w:r>
            <w:r>
              <w:rPr>
                <w:rFonts w:cs="Arial" w:ascii="Arial" w:hAnsi="Arial"/>
                <w:sz w:val="24"/>
                <w:szCs w:val="24"/>
              </w:rPr>
              <w:t xml:space="preserve"> Folleyův katétr č. 16</w:t>
            </w:r>
          </w:p>
        </w:tc>
      </w:tr>
    </w:tbl>
    <w:p>
      <w:pPr>
        <w:pStyle w:val="Normal"/>
        <w:rPr>
          <w:rFonts w:ascii="Arial" w:hAnsi="Arial" w:cs="Arial"/>
          <w:sz w:val="24"/>
          <w:szCs w:val="24"/>
        </w:rPr>
      </w:pPr>
      <w:r>
        <w:rPr>
          <w:rFonts w:cs="Arial" w:ascii="Arial" w:hAnsi="Arial"/>
          <w:sz w:val="24"/>
          <w:szCs w:val="24"/>
        </w:rPr>
      </w:r>
    </w:p>
    <w:p>
      <w:pPr>
        <w:pStyle w:val="Nadpis1"/>
        <w:ind w:left="142" w:hanging="0"/>
        <w:rPr>
          <w:rFonts w:cs="Arial"/>
          <w:szCs w:val="24"/>
        </w:rPr>
      </w:pPr>
      <w:r>
        <w:rPr>
          <w:rFonts w:cs="Arial"/>
          <w:color w:val="0000FF"/>
          <w:szCs w:val="24"/>
        </w:rPr>
        <w:t>Zhodnocení pacienta dle modelu HENDERSONOVÉ</w:t>
      </w:r>
    </w:p>
    <w:tbl>
      <w:tblPr>
        <w:tblW w:w="916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552"/>
        <w:gridCol w:w="1701"/>
        <w:gridCol w:w="6907"/>
      </w:tblGrid>
      <w:tr>
        <w:trPr>
          <w:trHeight w:val="300" w:hRule="atLeast"/>
        </w:trPr>
        <w:tc>
          <w:tcPr>
            <w:tcW w:w="552" w:type="dxa"/>
            <w:tcBorders>
              <w:top w:val="single" w:sz="12"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w:t>
            </w:r>
          </w:p>
        </w:tc>
        <w:tc>
          <w:tcPr>
            <w:tcW w:w="1701" w:type="dxa"/>
            <w:tcBorders>
              <w:top w:val="single" w:sz="12"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Dýchání</w:t>
            </w:r>
          </w:p>
        </w:tc>
        <w:tc>
          <w:tcPr>
            <w:tcW w:w="6907" w:type="dxa"/>
            <w:tcBorders>
              <w:top w:val="single" w:sz="12"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Pacientka má pravidelné spontánní dýchání, počet dechů 17/min., dýchání je povrchní, čisté, bez vedlejších fenoménů. Pacientka nemá kašel ani sputum a má ráda vyvětraný pokoj. Nevyžaduje podporu dýchání. Okysličenost tkání je 95 % SpO2 (saturace krve kyslíkem).</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„Dýchá se mi kupodivu dobře. Možná na tom bude mít i podíl to, že jsem nikdy nekouřila. Nikdy jsem neměla problémy s dýcháním, jen jsem asi jako každý prodělala klasická onemocnění dýchacích cest. Když jdu do více schodů, tak se zadýchám, ale to asi každý. Kašel mívám opravdu jen výjimečně. Mám ráda vyvětraný pokoj, hlavně před spaním a čerstvý vzduch.“</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pulsní oxymetrie – 95 % (norma).</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Výživa a hydratace</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b/>
                <w:b/>
                <w:sz w:val="24"/>
                <w:szCs w:val="24"/>
              </w:rPr>
            </w:pPr>
            <w:r>
              <w:rPr>
                <w:rFonts w:cs="Arial" w:ascii="Arial" w:hAnsi="Arial"/>
                <w:b/>
                <w:sz w:val="24"/>
                <w:szCs w:val="24"/>
              </w:rPr>
              <w:t xml:space="preserve">Objektivně: </w:t>
            </w:r>
            <w:r>
              <w:rPr>
                <w:rFonts w:cs="Arial" w:ascii="Arial" w:hAnsi="Arial"/>
                <w:sz w:val="24"/>
                <w:szCs w:val="24"/>
              </w:rPr>
              <w:t>Pacientka se dnes 1. pooperační den vrátila k dietě číslo 3. Chuť k jídlu je dobrá. Sní asi polovinu z každé porce. BMI je 19,81 - norma. Pacientka není omezená ve stravě kulturními zvyky. Těžkosti s přijímáním nemá. Pacientka se stravuje na lůžku. Potřebuje dopomoc s nakrájením porcí. Sondu ani PEG (perkutánní endoskopická gastrotomie) nemá. Intravenózní podávání stravy není nutné, ale pacientka má zavedený PŽK, do kterého jsou podávány intravenózní léky. Stravuje se 3x denně podle harmonogramu oddělení. Přijímá okolo 1 ½ litrů tekutin denně.</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„Dieta mi vyhovuje, je to klasická strava, takže s tím problém nemám. Nejsem velký jedlík, stačí mi tak polovina z porce co mi tady dávají. Jídlo mi chutná. Tekutin se snažím pít dost, ale asi to není žádná sláva. Nejraději mám vodu z vodovodu. Čaj z oddělení mi moc nechutná. Když tu byla rodina, donesla mi džus, tak ten mám ráda, hlavně jablečný.“</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Body mass index - 19,81 (norma), Nutriční screening (dle Nottinghamského dotazníku) - 6 b. - nutné vyšetření nutričním terapeutem.</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3.</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Vylučování</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Vyprazdňování tlustého střeva provádí na lůžku do podložní mísy, stolici má pravidelnou. Nemá průjmem ani zácpu. Poslední stolice byla 22. 11. 2013, bez patologické příměsi. Konzistence formovaná. Není třeba používat pomocné prostředky k vyprazdňování. Pacientce byl 25. 11. 2013 zaveden permanentní Folleyův močový katetr</w:t>
            </w:r>
            <w:r>
              <w:rPr>
                <w:rFonts w:cs="Arial" w:ascii="Arial" w:hAnsi="Arial"/>
                <w:color w:val="FF0000"/>
                <w:sz w:val="24"/>
                <w:szCs w:val="24"/>
              </w:rPr>
              <w:t xml:space="preserve"> </w:t>
            </w:r>
            <w:r>
              <w:rPr>
                <w:rFonts w:cs="Arial" w:ascii="Arial" w:hAnsi="Arial"/>
                <w:sz w:val="24"/>
                <w:szCs w:val="24"/>
              </w:rPr>
              <w:t>č. 16 v souvislosti s plánovanou operací a nutností následného klidového režimu. Moč je bez patologické příměsi. Vymočí asi 1 ½ litru za den. Pocení je přiměřené, bez zápachu. Bolest při močení nepociťuje. Speciální zvyky při vylučování nemá.</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„S tím, že mám močovou hadičku, jsem se nějak smířila. Je to o starost méně bych řekla, ale je to nezvyk a není to moc příjemné. Teď bych asi nebyla schopna si dojít na záchod ani s pomocí bohužel. Vymočím asi tolik, kolik toho vypiji. Stolici mám naštěstí pravidelnou a bez problémů. Na stolici nechodím pravidelně, záleží na tom, co sním. Nemám zácpu ani průjmy. Zvyky při vylučování žádné nemám, jen mám ráda asi jako každý soukromí, což se v nemocnici těžko zaručí.“</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příjem a výdej - norma.</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4.</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Pohyb</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Postel je standardní, vhodná. S automatickým ovládáním, které bylo pacientce vysvětleno a ukázáno. Ložní prádlo čisté, převléká se denně dle znečištění. Stolička a křeslo na pokoji nejsou. Pacientka byla edukována o riziku pádu a nutnosti klidového režimu. Pacientka se polohuje. Od 21.00-24.00 na levý bok, 00.00-03.00 na záda, 03.00-06.00 na pravý bok, 06.00-09.00 na záda a 09.00-12.00 na levý bok. Cyklus se opakuje po celých 24 hodin. Dnes má pacientka ještě klidový režim, zítra tedy 27. 11. 2013 je již naplánována rehabilitace s fyzioterapeutem.</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„Postel mi vyhovuje. Prádlo mi sestřičky vždy mění, když je potřeba. Teď mají sestřičky se mnou bohužel asi hodně práce. Musí se se mnou tahat, ale snažím se jim pomáhat, co to jde. Na stoleček si dosáhnu, ale z postele zatím nevstanu. Už se docela těším na rehabilitování, abych už odsud mohla co nejdřív jít, i když asi ne po svých.“</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Barthel test základních všedních činností – 45 bodů - ADL 3 (závislost středního stupně). Rozšířená stupnice Nortonové – 24 bodů - nízké riziko vzniku dekubitu. Rizikové faktory pro vznik pádu - 4 body - riziko vzniku pádu.</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5.</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Spánek a odpočinek</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Pacientka spí celkem klidně. V noci se tak 2x za noc probudí, ale hned na to brzy usne. Usíná rychle. Problém se spánkem nemá. Přes den odpočívá, občas i tvrdě usne asi na hodinu. Před spaním má ve zvyku mít vyvětraný pokoj. Po probuzení se cítí vyspalá a odpočatá. Léky - hypnotika neužívá. Povlečení má čisté. Na noc se pacientce dávají postranice z důvodu rizika pádu. Režim má na lůžku.</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„V LDN jsem měla ve zvyku chodit spát okolo deváté hodiny večer, tady je to podobné. Sestřičky mi před spaním vždy vyvětrají pokoj, tak jsem spokojená. Po obědě, se cítím unaveně, tak si občas na chvíli zdřímnu.“</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0</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6.</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Oblékání</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Pacientka potřebuje dopomoc při oblékání. Vzhledem k časté výměně prádla, z důvodu prosakování rány používá pacientka noční košile z oddělení.  Na neamputované končetině nosí teplou ponožku.</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„Při oblékání do košile potřebuji od sestřiček pomoc. Sama to nezvládnu. Rodina mi ještě nepřinesla mojí noční košili, takže prozatím používám noční košile, co mi dávají sestřičky.“</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Barthel test základních všedních činností – 45 bodů - ADL 3 (závislost středního stupně)</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7.</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Regulace tělesné teploty</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Tělesná teplota se měří 3x denně (6-12-18). Kvůli chladnému počasí se pokoj větrá jen příležitostně, aby se předešlo zdravotním komplikacím. Pacientka má TT (tělesná teplota) 36,8 °C - afebrilní. Prostředky na snížení nebo zvýšení TT či zábaly nejsou v tuto chvíli potřebné.</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„Teplota tady na oddělení mi vyhovuje. Mám raději vlhčí vzduch.“</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0</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8.</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Hygiena</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Pacientka je v oblasti hygieny nesoběstačná, tudíž je nutná pomoc. Pacientku koupeme ve vaně v koupelně. S přesunem na vanu se snaží pomáhat. Nutná dopomoc s čištěním zubů. Ostříhání nehtů není prozatím nutné. Pacientka má sušší kůži, zejména v oblasti tváří a hřbetu rukou, tak se tělovým mlékem promazává kompletně celé tělo pacientky. Pacientka má své vlastní hygienické pomůcky.</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„Teď jsem odkázaná na pomoc sestřiček s hygienou, snažím se alespoň ten kartáček v ruce udržet. Jsem ráda, když za mnou přijde sestřička a nabídne mi namazání zad chladící emulzí. Je to velmi příjemné po tom stálém ležení.“</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Barthel test základních všedních činností – 45 bodů - ADL 3 (závislost středního stupně)</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9.</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Ochrana před nebezpečím</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Náboženské zvyky pacientka nemá. Léky jsou uložené v uzamykatelné lékárničce na pracovně sester a dávkování je sestrou. Pacientka nemá očkování proti chřipce. Oddělení má bezbariérové plochy a madla. Používají se ochranné jednorázové pomůcky. Pacientka je edukována sestrou před možným rizikem pádu.</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„Proti chřipce očkování opravdu nemám. Sestřičky mi na noc dávají postranice, tak se cítím celkem i v bezpečí.“</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Rizikové faktory pro vznik pádu - 4 body - riziko vzniku pádu.</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Komunikace, kontakt</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 xml:space="preserve"> S pacientkou se velmi dobře komunikuje. Snaží se spolupracovat. Na pohled pacientka působí otevřeně a vyrovnaně, ale jinak má strach. Bojí se svého stavu a budoucnosti. Při převazu se na pahýl nechce dívat. Rodina pacientku navštívila v den přijetí pacientky. Od té doby za ní prozatím rodina nebyla. Na pokoji s pacientkami ráda komunikuje.</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„Stále přemýšlím nad tím, že chodit už asi nebudu s tímhle pahýlem. Byla bych ráda, kdyby za mnou rodina v nejbližší době zase přišla. V LDN mě navštěvují opravdu výjimečně. Jsem ráda, že tu alespoň jednou za mnou byli.“</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0</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Víra</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Na oddělení je možnost zajistit duchovní pomoc, pacientce byla nabídnuta, ale nemá zájem. Je ateistka.</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„Žádnou víru neuznávám, jsem nevěřící.“</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0</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Práce</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Od 27. 1. 2013 je naplánovaná rehabilitace s fyzioterapeutem. Pacientka je snaživá, přes den si ráda poslouchá své kapesní rádio.</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„Těším se, až začnu rehabilitovat, alespoň se budu trošku hýbat.“</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0</w:t>
            </w:r>
          </w:p>
        </w:tc>
      </w:tr>
      <w:tr>
        <w:trPr>
          <w:trHeight w:val="300" w:hRule="atLeast"/>
        </w:trPr>
        <w:tc>
          <w:tcPr>
            <w:tcW w:w="552"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Aktivity</w:t>
            </w:r>
          </w:p>
        </w:tc>
        <w:tc>
          <w:tcPr>
            <w:tcW w:w="6907"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 xml:space="preserve"> Ráda si povídá s personálem a pacientkami, s kterými je na pokoji. Poslouchá rádio. Přes den ráda odpočívá a po obědě ráda spí.</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„Když jsem byla v LDN, trávila jsem ráda čas sledováním televize a čtením zajímavých detektivek. Mám ráda drama. Vždy jsem se do čtení úplně ponořila. Když už tady nemám možnost sledovat televizi a ani knížky tu nemám, tak alespoň můžu poslouchat své rádio a nějak to tady zvládnout.“</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0</w:t>
            </w:r>
          </w:p>
        </w:tc>
      </w:tr>
      <w:tr>
        <w:trPr>
          <w:trHeight w:val="300" w:hRule="atLeast"/>
        </w:trPr>
        <w:tc>
          <w:tcPr>
            <w:tcW w:w="552" w:type="dxa"/>
            <w:tcBorders>
              <w:top w:val="single" w:sz="4" w:space="0" w:color="000000"/>
              <w:left w:val="single" w:sz="12" w:space="0" w:color="000000"/>
              <w:bottom w:val="single" w:sz="12"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14.</w:t>
            </w:r>
          </w:p>
        </w:tc>
        <w:tc>
          <w:tcPr>
            <w:tcW w:w="1701" w:type="dxa"/>
            <w:tcBorders>
              <w:top w:val="single" w:sz="4" w:space="0" w:color="000000"/>
              <w:left w:val="single" w:sz="4" w:space="0" w:color="000000"/>
              <w:bottom w:val="single" w:sz="12"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Učení</w:t>
            </w:r>
          </w:p>
        </w:tc>
        <w:tc>
          <w:tcPr>
            <w:tcW w:w="6907" w:type="dxa"/>
            <w:tcBorders>
              <w:top w:val="single" w:sz="4" w:space="0" w:color="000000"/>
              <w:left w:val="single" w:sz="4" w:space="0" w:color="000000"/>
              <w:bottom w:val="single" w:sz="12" w:space="0" w:color="000000"/>
              <w:right w:val="single" w:sz="12" w:space="0" w:color="000000"/>
            </w:tcBorders>
            <w:vAlign w:val="center"/>
          </w:tcPr>
          <w:p>
            <w:pPr>
              <w:pStyle w:val="Normal"/>
              <w:widowControl w:val="false"/>
              <w:jc w:val="both"/>
              <w:rPr>
                <w:rFonts w:ascii="Arial" w:hAnsi="Arial" w:cs="Arial"/>
                <w:sz w:val="24"/>
                <w:szCs w:val="24"/>
              </w:rPr>
            </w:pPr>
            <w:r>
              <w:rPr>
                <w:rFonts w:cs="Arial" w:ascii="Arial" w:hAnsi="Arial"/>
                <w:b/>
                <w:sz w:val="24"/>
                <w:szCs w:val="24"/>
              </w:rPr>
              <w:t xml:space="preserve">Objektivně: </w:t>
            </w:r>
            <w:r>
              <w:rPr>
                <w:rFonts w:cs="Arial" w:ascii="Arial" w:hAnsi="Arial"/>
                <w:sz w:val="24"/>
                <w:szCs w:val="24"/>
              </w:rPr>
              <w:t>Pacientka je dostatečně informována a edukována sestrou ústně ohledně práv pacientů, o analgeticích a jejich nežádoucích účincích. Dostatečně se zajímá o svůj zdravotní stav.</w:t>
            </w:r>
          </w:p>
          <w:p>
            <w:pPr>
              <w:pStyle w:val="Normal"/>
              <w:widowControl w:val="false"/>
              <w:jc w:val="both"/>
              <w:rPr>
                <w:rFonts w:ascii="Arial" w:hAnsi="Arial" w:cs="Arial"/>
                <w:sz w:val="24"/>
                <w:szCs w:val="24"/>
              </w:rPr>
            </w:pPr>
            <w:r>
              <w:rPr>
                <w:rFonts w:cs="Arial" w:ascii="Arial" w:hAnsi="Arial"/>
                <w:b/>
                <w:sz w:val="24"/>
                <w:szCs w:val="24"/>
              </w:rPr>
              <w:t xml:space="preserve">Subjektivně: </w:t>
            </w:r>
            <w:r>
              <w:rPr>
                <w:rFonts w:cs="Arial" w:ascii="Arial" w:hAnsi="Arial"/>
                <w:sz w:val="24"/>
                <w:szCs w:val="24"/>
              </w:rPr>
              <w:t>„Pan doktor a sestřičky mě informovali o mém stavu. Myslím, že mám všechny potřebné informace. Pokud by mě něco ještě zajímalo, určitě se zeptám.“</w:t>
            </w:r>
          </w:p>
          <w:p>
            <w:pPr>
              <w:pStyle w:val="Normal"/>
              <w:widowControl w:val="false"/>
              <w:jc w:val="both"/>
              <w:rPr>
                <w:rFonts w:ascii="Arial" w:hAnsi="Arial" w:cs="Arial"/>
                <w:sz w:val="24"/>
                <w:szCs w:val="24"/>
              </w:rPr>
            </w:pPr>
            <w:r>
              <w:rPr>
                <w:rFonts w:cs="Arial" w:ascii="Arial" w:hAnsi="Arial"/>
                <w:b/>
                <w:sz w:val="24"/>
                <w:szCs w:val="24"/>
              </w:rPr>
              <w:t xml:space="preserve">Použita měřící technika: </w:t>
            </w:r>
            <w:r>
              <w:rPr>
                <w:rFonts w:cs="Arial" w:ascii="Arial" w:hAnsi="Arial"/>
                <w:sz w:val="24"/>
                <w:szCs w:val="24"/>
              </w:rPr>
              <w:t>0</w:t>
            </w:r>
          </w:p>
        </w:tc>
      </w:tr>
    </w:tbl>
    <w:p>
      <w:pPr>
        <w:pStyle w:val="Normal"/>
        <w:tabs>
          <w:tab w:val="clear" w:pos="709"/>
          <w:tab w:val="left" w:pos="13467" w:leader="none"/>
        </w:tabs>
        <w:ind w:right="-256" w:hanging="0"/>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color w:val="00B050"/>
          <w:sz w:val="24"/>
          <w:szCs w:val="24"/>
        </w:rPr>
      </w:pPr>
      <w:r>
        <w:rPr>
          <w:rFonts w:cs="Arial" w:ascii="Arial" w:hAnsi="Arial"/>
          <w:color w:val="00B050"/>
          <w:sz w:val="24"/>
          <w:szCs w:val="24"/>
        </w:rPr>
      </w:r>
    </w:p>
    <w:p>
      <w:pPr>
        <w:pStyle w:val="Normal"/>
        <w:spacing w:lineRule="auto" w:line="360"/>
        <w:jc w:val="both"/>
        <w:rPr>
          <w:rFonts w:ascii="Arial" w:hAnsi="Arial" w:cs="Arial"/>
          <w:b/>
          <w:b/>
          <w:color w:val="0000FF"/>
          <w:sz w:val="24"/>
          <w:szCs w:val="24"/>
        </w:rPr>
      </w:pPr>
      <w:r>
        <w:rPr>
          <w:rFonts w:cs="Arial" w:ascii="Arial" w:hAnsi="Arial"/>
          <w:b/>
          <w:color w:val="0000FF"/>
          <w:sz w:val="24"/>
          <w:szCs w:val="24"/>
        </w:rPr>
        <w:t>ZADÁNÍ PRO STUDENTY</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Stanovte ošetřovatelské problémy pacientky v rámci holistické filosofie (jako by jste referoval/a o pacientovi/ce svému/své kolegyni v rámci předávání služby. Zde shrňte všechny problémy, které vyplynuly z posouzení stavu pacienta/ky)</w:t>
      </w:r>
      <w:r>
        <w:rPr>
          <w:rFonts w:eastAsia="Arial" w:cs="Arial" w:ascii="Arial" w:hAnsi="Arial"/>
          <w:b/>
          <w:color w:val="0000FF"/>
          <w:sz w:val="24"/>
          <w:szCs w:val="24"/>
        </w:rPr>
        <w:t>situační analýzu</w:t>
      </w:r>
      <w:r>
        <w:rPr>
          <w:rFonts w:cs="Arial" w:ascii="Arial" w:hAnsi="Arial"/>
          <w:b/>
          <w:color w:val="0000FF"/>
          <w:sz w:val="24"/>
          <w:szCs w:val="24"/>
        </w:rPr>
        <w:t>.</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Stanovte ošetřovatelské diagnózy dle NANDA International 2018-2020 a uspořádejte je podle priority (vysoké, střední, nízké).</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U všech zvolených aktuálních diagnóz zapište doménu, třídu, definici,  určující znaky a související faktory.</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U všech zvolených potencionálních diagnóz zapište doménu, třídu, definici a rizikové faktory.</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Vyberte jednu aktuální a jednu rizikovou ze stanovených diagnóz a navrhněte u ní cíle (dlouhodobé a krátkodobé), očekávané výsledky a intervence (závislé, nezávislé a souběžné).</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Jakým způsobem budete postupovat při ošetřování pahýlu dolní končetiny?</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Promyslete možná edukační témata u pacienta s amputovanou dolní končetinou např. polohování pahýlu, otužování pahýlu, masáž pahýlu, bandážování pahýlu atd.</w:t>
      </w:r>
    </w:p>
    <w:p>
      <w:pPr>
        <w:pStyle w:val="Odstavecseseznamem1"/>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Jaké znáte metody bandážování pahýlu?</w:t>
      </w:r>
    </w:p>
    <w:p>
      <w:pPr>
        <w:pStyle w:val="Odstavecseseznamem1"/>
        <w:spacing w:lineRule="auto" w:line="360"/>
        <w:jc w:val="both"/>
        <w:rPr>
          <w:rFonts w:ascii="Arial" w:hAnsi="Arial" w:cs="Arial"/>
          <w:b/>
          <w:b/>
          <w:color w:val="0000FF"/>
          <w:sz w:val="24"/>
          <w:szCs w:val="24"/>
        </w:rPr>
      </w:pPr>
      <w:r>
        <w:rPr/>
      </w:r>
    </w:p>
    <w:sectPr>
      <w:headerReference w:type="default" r:id="rId2"/>
      <w:footerReference w:type="default" r:id="rId3"/>
      <w:type w:val="nextPage"/>
      <w:pgSz w:w="11906" w:h="16838"/>
      <w:pgMar w:left="1417" w:right="1417" w:header="709" w:top="1674" w:footer="0" w:bottom="1417" w:gutter="0"/>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Arial">
    <w:charset w:val="ee"/>
    <w:family w:val="roman"/>
    <w:pitch w:val="variable"/>
  </w:font>
  <w:font w:name="Cambria">
    <w:charset w:val="ee"/>
    <w:family w:val="roman"/>
    <w:pitch w:val="variable"/>
  </w:font>
  <w:font w:name="Tahoma">
    <w:charset w:val="ee"/>
    <w:family w:val="roman"/>
    <w:pitch w:val="variable"/>
  </w:font>
  <w:font w:name="Liberation Sans">
    <w:altName w:val="Arial"/>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jc w:val="center"/>
      <w:rPr/>
    </w:pPr>
    <w:r>
      <w:rPr/>
      <w:fldChar w:fldCharType="begin"/>
    </w:r>
    <w:r>
      <w:rPr/>
      <w:instrText> PAGE </w:instrText>
    </w:r>
    <w:r>
      <w:rPr/>
      <w:fldChar w:fldCharType="separate"/>
    </w:r>
    <w:r>
      <w:rPr/>
      <w:t>5</w:t>
    </w:r>
    <w:r>
      <w:rPr/>
      <w:fldChar w:fldCharType="end"/>
    </w:r>
  </w:p>
  <w:p>
    <w:pPr>
      <w:pStyle w:val="Zpa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tabs>
        <w:tab w:val="clear" w:pos="4536"/>
        <w:tab w:val="clear" w:pos="9072"/>
        <w:tab w:val="left" w:pos="6420" w:leader="none"/>
      </w:tabs>
      <w:rPr>
        <w:i/>
        <w:i/>
        <w:color w:val="808080"/>
        <w:sz w:val="24"/>
        <w:szCs w:val="24"/>
      </w:rPr>
    </w:pPr>
    <w:r>
      <mc:AlternateContent>
        <mc:Choice Requires="wps">
          <w:drawing>
            <wp:anchor behindDoc="1" distT="0" distB="0" distL="0" distR="0" simplePos="0" locked="0" layoutInCell="0" allowOverlap="1" relativeHeight="9">
              <wp:simplePos x="0" y="0"/>
              <wp:positionH relativeFrom="column">
                <wp:posOffset>33020</wp:posOffset>
              </wp:positionH>
              <wp:positionV relativeFrom="paragraph">
                <wp:posOffset>-316230</wp:posOffset>
              </wp:positionV>
              <wp:extent cx="753745" cy="759460"/>
              <wp:effectExtent l="0" t="0" r="0" b="0"/>
              <wp:wrapNone/>
              <wp:docPr id="1" name="Obrázek 4"/>
              <a:graphic xmlns:a="http://schemas.openxmlformats.org/drawingml/2006/main">
                <a:graphicData uri="http://schemas.openxmlformats.org/drawingml/2006/picture">
                  <pic:pic xmlns:pic="http://schemas.openxmlformats.org/drawingml/2006/picture">
                    <pic:nvPicPr>
                      <pic:cNvPr id="0" name="Obrázek 4" descr=""/>
                      <pic:cNvPicPr/>
                    </pic:nvPicPr>
                    <pic:blipFill>
                      <a:blip r:embed="rId1"/>
                      <a:stretch/>
                    </pic:blipFill>
                    <pic:spPr>
                      <a:xfrm>
                        <a:off x="0" y="0"/>
                        <a:ext cx="753120" cy="75888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ázek 4" stroked="f" style="position:absolute;margin-left:2.6pt;margin-top:-24.9pt;width:59.25pt;height:59.7pt;v-text-anchor:middle" type="shapetype_75">
              <v:imagedata r:id="rId1" o:detectmouseclick="t"/>
              <w10:wrap type="none"/>
              <v:stroke color="#3465a4" joinstyle="round" endcap="flat"/>
            </v:shape>
          </w:pict>
        </mc:Fallback>
      </mc:AlternateContent>
      <mc:AlternateContent>
        <mc:Choice Requires="wps">
          <w:drawing>
            <wp:anchor behindDoc="1" distT="0" distB="0" distL="0" distR="0" simplePos="0" locked="0" layoutInCell="0" allowOverlap="1" relativeHeight="17">
              <wp:simplePos x="0" y="0"/>
              <wp:positionH relativeFrom="column">
                <wp:posOffset>4309110</wp:posOffset>
              </wp:positionH>
              <wp:positionV relativeFrom="paragraph">
                <wp:posOffset>-291465</wp:posOffset>
              </wp:positionV>
              <wp:extent cx="1630045" cy="734695"/>
              <wp:effectExtent l="0" t="0" r="0" b="0"/>
              <wp:wrapNone/>
              <wp:docPr id="2" name="Obrázek 3"/>
              <a:graphic xmlns:a="http://schemas.openxmlformats.org/drawingml/2006/main">
                <a:graphicData uri="http://schemas.openxmlformats.org/drawingml/2006/picture">
                  <pic:pic xmlns:pic="http://schemas.openxmlformats.org/drawingml/2006/picture">
                    <pic:nvPicPr>
                      <pic:cNvPr id="1" name="Obrázek 3" descr=""/>
                      <pic:cNvPicPr/>
                    </pic:nvPicPr>
                    <pic:blipFill>
                      <a:blip r:embed="rId2"/>
                      <a:stretch/>
                    </pic:blipFill>
                    <pic:spPr>
                      <a:xfrm>
                        <a:off x="0" y="0"/>
                        <a:ext cx="1629360" cy="734040"/>
                      </a:xfrm>
                      <a:prstGeom prst="rect">
                        <a:avLst/>
                      </a:prstGeom>
                      <a:ln w="0">
                        <a:noFill/>
                      </a:ln>
                    </pic:spPr>
                  </pic:pic>
                </a:graphicData>
              </a:graphic>
            </wp:anchor>
          </w:drawing>
        </mc:Choice>
        <mc:Fallback>
          <w:pict>
            <v:shape id="shape_0" ID="Obrázek 3" stroked="f" style="position:absolute;margin-left:339.3pt;margin-top:-22.95pt;width:128.25pt;height:57.75pt;v-text-anchor:middle" type="shapetype_75">
              <v:imagedata r:id="rId2" o:detectmouseclick="t"/>
              <w10:wrap type="none"/>
              <v:stroke color="#3465a4" joinstyle="round" endcap="flat"/>
            </v:shape>
          </w:pict>
        </mc:Fallback>
      </mc:AlternateContent>
    </w:r>
    <w:r>
      <w:rPr>
        <w:i/>
        <w:color w:val="808080"/>
        <w:sz w:val="24"/>
        <w:szCs w:val="24"/>
      </w:rPr>
      <w:t xml:space="preserve"> </w:t>
    </w:r>
    <w:r>
      <w:rPr>
        <w:i/>
        <w:color w:val="808080"/>
        <w:sz w:val="24"/>
        <w:szCs w:val="24"/>
      </w:rPr>
      <w:t xml:space="preserve">                      </w:t>
    </w:r>
    <w:r>
      <w:rPr>
        <w:i/>
        <w:color w:val="808080"/>
        <w:sz w:val="24"/>
        <w:szCs w:val="24"/>
      </w:rPr>
      <w:t>Vysoká škola zdravotnická, o. p. s.</w:t>
      <w:tab/>
    </w:r>
  </w:p>
  <w:p>
    <w:pPr>
      <w:pStyle w:val="Zhlav"/>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9"/>
  <w:autoHyphenation w:val="true"/>
  <w:doNotHyphenateCap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cs-CZ" w:eastAsia="cs-CZ" w:bidi="ar-SA"/>
      </w:rPr>
    </w:rPrDefault>
    <w:pPrDefault>
      <w:pPr>
        <w:suppressAutoHyphens w:val="true"/>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uiPriority="99"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lock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67ab0"/>
    <w:pPr>
      <w:widowControl/>
      <w:suppressAutoHyphens w:val="true"/>
      <w:bidi w:val="0"/>
      <w:spacing w:before="0" w:after="0"/>
      <w:jc w:val="left"/>
    </w:pPr>
    <w:rPr>
      <w:rFonts w:ascii="Times New Roman" w:hAnsi="Times New Roman" w:eastAsia="Calibri" w:cs="Times New Roman"/>
      <w:color w:val="auto"/>
      <w:kern w:val="0"/>
      <w:sz w:val="20"/>
      <w:szCs w:val="20"/>
      <w:lang w:val="cs-CZ" w:eastAsia="cs-CZ" w:bidi="ar-SA"/>
    </w:rPr>
  </w:style>
  <w:style w:type="paragraph" w:styleId="Nadpis1">
    <w:name w:val="Heading 1"/>
    <w:basedOn w:val="Normal"/>
    <w:next w:val="Normal"/>
    <w:link w:val="Nadpis1Char"/>
    <w:qFormat/>
    <w:rsid w:val="00d67ab0"/>
    <w:pPr>
      <w:keepNext w:val="true"/>
      <w:outlineLvl w:val="0"/>
    </w:pPr>
    <w:rPr>
      <w:rFonts w:ascii="Arial" w:hAnsi="Arial"/>
      <w:b/>
      <w:sz w:val="24"/>
    </w:rPr>
  </w:style>
  <w:style w:type="paragraph" w:styleId="Nadpis3">
    <w:name w:val="Heading 3"/>
    <w:basedOn w:val="Normal"/>
    <w:next w:val="Normal"/>
    <w:link w:val="Nadpis3Char"/>
    <w:qFormat/>
    <w:locked/>
    <w:rsid w:val="003d2c8f"/>
    <w:pPr>
      <w:keepNext w:val="true"/>
      <w:keepLines/>
      <w:spacing w:before="200" w:after="0"/>
      <w:outlineLvl w:val="2"/>
    </w:pPr>
    <w:rPr>
      <w:rFonts w:ascii="Cambria" w:hAnsi="Cambria"/>
      <w:b/>
      <w:bCs/>
      <w:color w:val="4F81BD"/>
    </w:rPr>
  </w:style>
  <w:style w:type="character" w:styleId="DefaultParagraphFont" w:default="1">
    <w:name w:val="Default Paragraph Font"/>
    <w:uiPriority w:val="1"/>
    <w:semiHidden/>
    <w:unhideWhenUsed/>
    <w:qFormat/>
    <w:rPr/>
  </w:style>
  <w:style w:type="character" w:styleId="Nadpis1Char" w:customStyle="1">
    <w:name w:val="Nadpis 1 Char"/>
    <w:link w:val="Nadpis1"/>
    <w:qFormat/>
    <w:locked/>
    <w:rsid w:val="00d67ab0"/>
    <w:rPr>
      <w:rFonts w:ascii="Arial" w:hAnsi="Arial" w:cs="Times New Roman"/>
      <w:b/>
      <w:sz w:val="20"/>
      <w:szCs w:val="20"/>
      <w:lang w:val="x-none" w:eastAsia="cs-CZ"/>
    </w:rPr>
  </w:style>
  <w:style w:type="character" w:styleId="ZhlavChar" w:customStyle="1">
    <w:name w:val="Záhlaví Char"/>
    <w:link w:val="Zhlav"/>
    <w:semiHidden/>
    <w:qFormat/>
    <w:locked/>
    <w:rsid w:val="00d67ab0"/>
    <w:rPr>
      <w:rFonts w:ascii="Times New Roman" w:hAnsi="Times New Roman" w:cs="Times New Roman"/>
      <w:sz w:val="20"/>
      <w:szCs w:val="20"/>
      <w:lang w:val="x-none" w:eastAsia="cs-CZ"/>
    </w:rPr>
  </w:style>
  <w:style w:type="character" w:styleId="ZpatChar" w:customStyle="1">
    <w:name w:val="Zápatí Char"/>
    <w:link w:val="Zpat"/>
    <w:uiPriority w:val="99"/>
    <w:qFormat/>
    <w:locked/>
    <w:rsid w:val="00a5128c"/>
    <w:rPr>
      <w:rFonts w:ascii="Times New Roman" w:hAnsi="Times New Roman" w:cs="Times New Roman"/>
      <w:sz w:val="20"/>
      <w:szCs w:val="20"/>
      <w:lang w:val="x-none" w:eastAsia="cs-CZ"/>
    </w:rPr>
  </w:style>
  <w:style w:type="character" w:styleId="Internetovodkaz" w:customStyle="1">
    <w:name w:val="Internetový odkaz"/>
    <w:rsid w:val="00760ffa"/>
    <w:rPr>
      <w:rFonts w:cs="Times New Roman"/>
      <w:color w:val="0000FF"/>
      <w:u w:val="single"/>
    </w:rPr>
  </w:style>
  <w:style w:type="character" w:styleId="Nadpis3Char" w:customStyle="1">
    <w:name w:val="Nadpis 3 Char"/>
    <w:link w:val="Nadpis3"/>
    <w:semiHidden/>
    <w:qFormat/>
    <w:locked/>
    <w:rsid w:val="003d2c8f"/>
    <w:rPr>
      <w:rFonts w:ascii="Cambria" w:hAnsi="Cambria" w:cs="Times New Roman"/>
      <w:b/>
      <w:bCs/>
      <w:color w:val="4F81BD"/>
      <w:sz w:val="20"/>
      <w:szCs w:val="20"/>
    </w:rPr>
  </w:style>
  <w:style w:type="character" w:styleId="Annotationreference">
    <w:name w:val="annotation reference"/>
    <w:semiHidden/>
    <w:qFormat/>
    <w:rsid w:val="003b6ed9"/>
    <w:rPr>
      <w:rFonts w:cs="Times New Roman"/>
      <w:sz w:val="16"/>
      <w:szCs w:val="16"/>
    </w:rPr>
  </w:style>
  <w:style w:type="character" w:styleId="TextkomenteChar" w:customStyle="1">
    <w:name w:val="Text komentáře Char"/>
    <w:link w:val="Textkomente"/>
    <w:semiHidden/>
    <w:qFormat/>
    <w:locked/>
    <w:rsid w:val="003b6ed9"/>
    <w:rPr>
      <w:rFonts w:ascii="Times New Roman" w:hAnsi="Times New Roman" w:cs="Times New Roman"/>
      <w:sz w:val="20"/>
      <w:szCs w:val="20"/>
    </w:rPr>
  </w:style>
  <w:style w:type="character" w:styleId="PedmtkomenteChar" w:customStyle="1">
    <w:name w:val="Předmět komentáře Char"/>
    <w:link w:val="Pedmtkomente"/>
    <w:semiHidden/>
    <w:qFormat/>
    <w:locked/>
    <w:rsid w:val="003b6ed9"/>
    <w:rPr>
      <w:rFonts w:ascii="Times New Roman" w:hAnsi="Times New Roman" w:cs="Times New Roman"/>
      <w:b/>
      <w:bCs/>
      <w:sz w:val="20"/>
      <w:szCs w:val="20"/>
    </w:rPr>
  </w:style>
  <w:style w:type="character" w:styleId="TextbublinyChar" w:customStyle="1">
    <w:name w:val="Text bubliny Char"/>
    <w:link w:val="Textbubliny"/>
    <w:semiHidden/>
    <w:qFormat/>
    <w:locked/>
    <w:rsid w:val="003b6ed9"/>
    <w:rPr>
      <w:rFonts w:ascii="Tahoma" w:hAnsi="Tahoma" w:cs="Tahoma"/>
      <w:sz w:val="16"/>
      <w:szCs w:val="16"/>
    </w:rPr>
  </w:style>
  <w:style w:type="character" w:styleId="ZkladntextChar">
    <w:name w:val="Základní text Char"/>
    <w:qFormat/>
    <w:rPr>
      <w:rFonts w:ascii="Times New Roman" w:hAnsi="Times New Roman" w:eastAsia="Times New Roman"/>
      <w:b/>
      <w:bCs/>
      <w:sz w:val="24"/>
      <w:szCs w:val="24"/>
      <w:lang w:val="sk-SK" w:eastAsia="cs-CZ"/>
    </w:rPr>
  </w:style>
  <w:style w:type="character" w:styleId="Nadpis2Char">
    <w:name w:val="Nadpis 2 Char"/>
    <w:qFormat/>
    <w:rPr>
      <w:rFonts w:ascii="Times New Roman" w:hAnsi="Times New Roman" w:eastAsia="Times New Roman"/>
      <w:b/>
      <w:bCs/>
      <w:sz w:val="24"/>
      <w:szCs w:val="24"/>
      <w:lang w:val="sk-SK" w:eastAsia="cs-CZ"/>
    </w:rPr>
  </w:style>
  <w:style w:type="paragraph" w:styleId="Nadpis" w:customStyle="1">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customStyle="1">
    <w:name w:val="Rejstřík"/>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Zhlavazpat" w:customStyle="1">
    <w:name w:val="Záhlaví a zápatí"/>
    <w:basedOn w:val="Normal"/>
    <w:qFormat/>
    <w:pPr/>
    <w:rPr/>
  </w:style>
  <w:style w:type="paragraph" w:styleId="Zhlav">
    <w:name w:val="Header"/>
    <w:basedOn w:val="Normal"/>
    <w:link w:val="ZhlavChar"/>
    <w:semiHidden/>
    <w:rsid w:val="00d67ab0"/>
    <w:pPr>
      <w:tabs>
        <w:tab w:val="clear" w:pos="709"/>
        <w:tab w:val="center" w:pos="4536" w:leader="none"/>
        <w:tab w:val="right" w:pos="9072" w:leader="none"/>
      </w:tabs>
    </w:pPr>
    <w:rPr/>
  </w:style>
  <w:style w:type="paragraph" w:styleId="Zpat">
    <w:name w:val="Footer"/>
    <w:basedOn w:val="Normal"/>
    <w:link w:val="ZpatChar"/>
    <w:uiPriority w:val="99"/>
    <w:rsid w:val="00a5128c"/>
    <w:pPr>
      <w:tabs>
        <w:tab w:val="clear" w:pos="709"/>
        <w:tab w:val="center" w:pos="4536" w:leader="none"/>
        <w:tab w:val="right" w:pos="9072" w:leader="none"/>
      </w:tabs>
    </w:pPr>
    <w:rPr/>
  </w:style>
  <w:style w:type="paragraph" w:styleId="Odstavecseseznamem1" w:customStyle="1">
    <w:name w:val="Odstavec se seznamem1"/>
    <w:basedOn w:val="Normal"/>
    <w:qFormat/>
    <w:rsid w:val="00023fad"/>
    <w:pPr>
      <w:ind w:left="720" w:hanging="0"/>
    </w:pPr>
    <w:rPr/>
  </w:style>
  <w:style w:type="paragraph" w:styleId="Annotationtext">
    <w:name w:val="annotation text"/>
    <w:basedOn w:val="Normal"/>
    <w:link w:val="TextkomenteChar"/>
    <w:semiHidden/>
    <w:qFormat/>
    <w:rsid w:val="003b6ed9"/>
    <w:pPr/>
    <w:rPr/>
  </w:style>
  <w:style w:type="paragraph" w:styleId="Annotationsubject">
    <w:name w:val="annotation subject"/>
    <w:basedOn w:val="Annotationtext"/>
    <w:next w:val="Annotationtext"/>
    <w:link w:val="PedmtkomenteChar"/>
    <w:semiHidden/>
    <w:qFormat/>
    <w:rsid w:val="003b6ed9"/>
    <w:pPr/>
    <w:rPr>
      <w:b/>
      <w:bCs/>
    </w:rPr>
  </w:style>
  <w:style w:type="paragraph" w:styleId="BalloonText">
    <w:name w:val="Balloon Text"/>
    <w:basedOn w:val="Normal"/>
    <w:link w:val="TextbublinyChar"/>
    <w:semiHidden/>
    <w:qFormat/>
    <w:rsid w:val="003b6ed9"/>
    <w:pPr/>
    <w:rPr>
      <w:rFonts w:ascii="Tahoma" w:hAnsi="Tahoma" w:cs="Tahoma"/>
      <w:sz w:val="16"/>
      <w:szCs w:val="16"/>
    </w:rPr>
  </w:style>
  <w:style w:type="paragraph" w:styleId="ListParagraph">
    <w:name w:val="List Paragraph"/>
    <w:basedOn w:val="Normal"/>
    <w:qFormat/>
    <w:pPr>
      <w:ind w:left="708" w:hanging="0"/>
    </w:pPr>
    <w:rPr/>
  </w:style>
  <w:style w:type="paragraph" w:styleId="Default">
    <w:name w:val="Default"/>
    <w:qFormat/>
    <w:pPr>
      <w:widowControl/>
      <w:suppressAutoHyphens w:val="true"/>
      <w:bidi w:val="0"/>
      <w:spacing w:before="0" w:after="0"/>
      <w:jc w:val="left"/>
    </w:pPr>
    <w:rPr>
      <w:rFonts w:ascii="Times New Roman" w:hAnsi="Times New Roman" w:eastAsia="Lucida Sans" w:cs="Times New Roman"/>
      <w:color w:val="000000"/>
      <w:kern w:val="2"/>
      <w:sz w:val="24"/>
      <w:szCs w:val="24"/>
      <w:lang w:val="cs-CZ" w:eastAsia="hi-IN" w:bidi="ar-SA"/>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styleId="Mkatabulky">
    <w:name w:val="Table Grid"/>
    <w:basedOn w:val="Normlntabulka"/>
    <w:rsid w:val="0077626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 Id="rId9" Type="http://schemas.openxmlformats.org/officeDocument/2006/relationships/customXml" Target="../customXml/item2.xml"/><Relationship Id="rId10"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1E2866-B80F-4058-B4D6-6D47A3C023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6C031D-24E1-4E79-8880-9B64372BADAC}">
  <ds:schemaRefs>
    <ds:schemaRef ds:uri="http://schemas.microsoft.com/sharepoint/v3/contenttype/forms"/>
  </ds:schemaRefs>
</ds:datastoreItem>
</file>

<file path=customXml/itemProps3.xml><?xml version="1.0" encoding="utf-8"?>
<ds:datastoreItem xmlns:ds="http://schemas.openxmlformats.org/officeDocument/2006/customXml" ds:itemID="{6426936F-E900-4BF7-BBC4-CDF5FFA2D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Application>LibreOffice/7.0.1.2$Windows_X86_64 LibreOffice_project/7cbcfc562f6eb6708b5ff7d7397325de9e764452</Application>
  <Pages>8</Pages>
  <Words>2312</Words>
  <Characters>13231</Characters>
  <CharactersWithSpaces>15360</CharactersWithSpaces>
  <Paragraphs>217</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VSZDRAV</dc:creator>
  <dc:description/>
  <dc:language>cs-CZ</dc:language>
  <cp:lastModifiedBy/>
  <dcterms:modified xsi:type="dcterms:W3CDTF">2021-03-21T18:36:20Z</dcterms:modified>
  <cp:revision>5</cp:revision>
  <dc:subject/>
  <dc:title>KAZUISTIKA – Pacient s ischemickou gangrénou dolní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ContentTypeId">
    <vt:lpwstr>0x0101003FE2565CA14E064D864C6194FB362A9A</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MSIP_Label_2063cd7f-2d21-486a-9f29-9c1683fdd175_ActionId">
    <vt:lpwstr>a4dc8713-3b23-4ff5-b32f-5ee4fa517505</vt:lpwstr>
  </property>
  <property fmtid="{D5CDD505-2E9C-101B-9397-08002B2CF9AE}" pid="9" name="MSIP_Label_2063cd7f-2d21-486a-9f29-9c1683fdd175_ContentBits">
    <vt:lpwstr>0</vt:lpwstr>
  </property>
  <property fmtid="{D5CDD505-2E9C-101B-9397-08002B2CF9AE}" pid="10" name="MSIP_Label_2063cd7f-2d21-486a-9f29-9c1683fdd175_Enabled">
    <vt:lpwstr>true</vt:lpwstr>
  </property>
  <property fmtid="{D5CDD505-2E9C-101B-9397-08002B2CF9AE}" pid="11" name="MSIP_Label_2063cd7f-2d21-486a-9f29-9c1683fdd175_Method">
    <vt:lpwstr>Standard</vt:lpwstr>
  </property>
  <property fmtid="{D5CDD505-2E9C-101B-9397-08002B2CF9AE}" pid="12" name="MSIP_Label_2063cd7f-2d21-486a-9f29-9c1683fdd175_Name">
    <vt:lpwstr>2063cd7f-2d21-486a-9f29-9c1683fdd175</vt:lpwstr>
  </property>
  <property fmtid="{D5CDD505-2E9C-101B-9397-08002B2CF9AE}" pid="13" name="MSIP_Label_2063cd7f-2d21-486a-9f29-9c1683fdd175_SetDate">
    <vt:lpwstr>2021-03-20T14:22:57Z</vt:lpwstr>
  </property>
  <property fmtid="{D5CDD505-2E9C-101B-9397-08002B2CF9AE}" pid="14" name="MSIP_Label_2063cd7f-2d21-486a-9f29-9c1683fdd175_SiteId">
    <vt:lpwstr>0f277086-d4e0-4971-bc1a-bbc5df0eb246</vt:lpwstr>
  </property>
  <property fmtid="{D5CDD505-2E9C-101B-9397-08002B2CF9AE}" pid="15" name="ScaleCrop">
    <vt:bool>0</vt:bool>
  </property>
  <property fmtid="{D5CDD505-2E9C-101B-9397-08002B2CF9AE}" pid="16" name="ShareDoc">
    <vt:bool>0</vt:bool>
  </property>
</Properties>
</file>