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FE7" w:rsidRDefault="001E6F25">
      <w:pPr>
        <w:pStyle w:val="Nadpis1"/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-52070</wp:posOffset>
            </wp:positionV>
            <wp:extent cx="4886325" cy="428244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FE7" w:rsidRDefault="001E6F25">
      <w:pPr>
        <w:spacing w:after="0"/>
        <w:rPr>
          <w:b/>
          <w:sz w:val="32"/>
        </w:rPr>
      </w:pPr>
      <w:r>
        <w:rPr>
          <w:rFonts w:ascii="Tahoma" w:hAnsi="Tahoma"/>
        </w:rPr>
        <w:t xml:space="preserve">                                           </w:t>
      </w:r>
      <w:proofErr w:type="spellStart"/>
      <w:r>
        <w:rPr>
          <w:rFonts w:ascii="Tahoma" w:hAnsi="Tahoma"/>
          <w:b/>
          <w:sz w:val="32"/>
        </w:rPr>
        <w:t>Nitromint</w:t>
      </w:r>
      <w:proofErr w:type="spellEnd"/>
      <w:r>
        <w:rPr>
          <w:rFonts w:ascii="Tahoma" w:hAnsi="Tahoma"/>
          <w:b/>
          <w:sz w:val="32"/>
        </w:rPr>
        <w:t xml:space="preserve"> aerosol</w:t>
      </w:r>
      <w:r>
        <w:rPr>
          <w:rFonts w:ascii="Tahoma" w:hAnsi="Tahoma"/>
          <w:b/>
          <w:sz w:val="32"/>
        </w:rPr>
        <w:br/>
      </w:r>
      <w:r>
        <w:rPr>
          <w:rFonts w:ascii="Tahoma" w:hAnsi="Tahoma"/>
          <w:b/>
          <w:sz w:val="32"/>
        </w:rPr>
        <w:tab/>
      </w:r>
      <w:r>
        <w:rPr>
          <w:rFonts w:ascii="Tahoma" w:hAnsi="Tahoma"/>
          <w:b/>
          <w:sz w:val="32"/>
        </w:rPr>
        <w:tab/>
      </w:r>
      <w:r>
        <w:rPr>
          <w:rFonts w:ascii="Tahoma" w:hAnsi="Tahoma"/>
          <w:b/>
          <w:sz w:val="32"/>
        </w:rPr>
        <w:tab/>
        <w:t xml:space="preserve"> </w:t>
      </w:r>
      <w:r>
        <w:rPr>
          <w:rFonts w:ascii="Tahoma" w:hAnsi="Tahoma"/>
          <w:b/>
          <w:sz w:val="32"/>
        </w:rPr>
        <w:tab/>
        <w:t xml:space="preserve">   </w:t>
      </w:r>
      <w:r>
        <w:rPr>
          <w:rFonts w:ascii="Tahoma" w:hAnsi="Tahoma"/>
          <w:i/>
          <w:iCs/>
          <w:sz w:val="24"/>
          <w:szCs w:val="24"/>
        </w:rPr>
        <w:t xml:space="preserve">roztok glycerol </w:t>
      </w:r>
      <w:proofErr w:type="spellStart"/>
      <w:r>
        <w:rPr>
          <w:rFonts w:ascii="Tahoma" w:hAnsi="Tahoma"/>
          <w:i/>
          <w:iCs/>
          <w:sz w:val="24"/>
          <w:szCs w:val="24"/>
        </w:rPr>
        <w:t>trinitrátu</w:t>
      </w:r>
      <w:proofErr w:type="spellEnd"/>
    </w:p>
    <w:p w:rsidR="00CF6FE7" w:rsidRDefault="00CF6FE7">
      <w:pPr>
        <w:pStyle w:val="Odstavecseseznamem"/>
        <w:spacing w:after="200" w:line="276" w:lineRule="auto"/>
        <w:ind w:left="1068"/>
        <w:rPr>
          <w:b/>
        </w:rPr>
      </w:pPr>
    </w:p>
    <w:p w:rsidR="00CF6FE7" w:rsidRDefault="001E6F25">
      <w:pPr>
        <w:pStyle w:val="Odstavecseseznamem"/>
        <w:numPr>
          <w:ilvl w:val="0"/>
          <w:numId w:val="1"/>
        </w:numPr>
        <w:spacing w:after="200" w:line="276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>Terapeutická indikace</w:t>
      </w:r>
    </w:p>
    <w:p w:rsidR="00CF6FE7" w:rsidRDefault="001E6F25">
      <w:pPr>
        <w:pStyle w:val="Odstavecseseznamem"/>
        <w:numPr>
          <w:ilvl w:val="1"/>
          <w:numId w:val="1"/>
        </w:numPr>
        <w:spacing w:after="200" w:line="276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léčba záchvatů anginy pectoris</w:t>
      </w:r>
    </w:p>
    <w:p w:rsidR="00CF6FE7" w:rsidRDefault="001E6F25">
      <w:pPr>
        <w:pStyle w:val="Odstavecseseznamem"/>
        <w:numPr>
          <w:ilvl w:val="1"/>
          <w:numId w:val="1"/>
        </w:numPr>
        <w:spacing w:after="200" w:line="276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 xml:space="preserve">prevence záchvatů anginy pectoris při aplikaci před </w:t>
      </w:r>
      <w:r>
        <w:rPr>
          <w:rFonts w:ascii="Tahoma" w:hAnsi="Tahoma"/>
          <w:sz w:val="24"/>
          <w:szCs w:val="24"/>
        </w:rPr>
        <w:br/>
        <w:t>zátěží, která</w:t>
      </w:r>
      <w:r>
        <w:rPr>
          <w:rFonts w:ascii="Tahoma" w:hAnsi="Tahoma"/>
          <w:sz w:val="24"/>
          <w:szCs w:val="24"/>
        </w:rPr>
        <w:t xml:space="preserve"> podle zkušeností může vyvolat záchvat</w:t>
      </w:r>
    </w:p>
    <w:p w:rsidR="00CF6FE7" w:rsidRDefault="001E6F25">
      <w:pPr>
        <w:pStyle w:val="Odstavecseseznamem"/>
        <w:numPr>
          <w:ilvl w:val="1"/>
          <w:numId w:val="1"/>
        </w:numPr>
        <w:spacing w:after="200" w:line="276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sz w:val="24"/>
          <w:szCs w:val="24"/>
        </w:rPr>
        <w:t>snížení plicního tlaku při AIM</w:t>
      </w:r>
    </w:p>
    <w:p w:rsidR="00CF6FE7" w:rsidRDefault="00CF6FE7">
      <w:pPr>
        <w:pStyle w:val="Odstavecseseznamem"/>
        <w:spacing w:after="200" w:line="276" w:lineRule="auto"/>
        <w:ind w:left="1068"/>
        <w:rPr>
          <w:rFonts w:ascii="Tahoma" w:hAnsi="Tahoma"/>
          <w:sz w:val="24"/>
          <w:szCs w:val="24"/>
        </w:rPr>
      </w:pPr>
    </w:p>
    <w:p w:rsidR="00CF6FE7" w:rsidRDefault="001E6F25">
      <w:pPr>
        <w:pStyle w:val="Odstavecseseznamem"/>
        <w:numPr>
          <w:ilvl w:val="0"/>
          <w:numId w:val="1"/>
        </w:numPr>
        <w:spacing w:after="200" w:line="276" w:lineRule="auto"/>
        <w:rPr>
          <w:rFonts w:ascii="Tahoma" w:hAnsi="Tahoma"/>
          <w:sz w:val="24"/>
          <w:szCs w:val="24"/>
        </w:rPr>
      </w:pPr>
      <w:r>
        <w:rPr>
          <w:rFonts w:ascii="Tahoma" w:hAnsi="Tahoma"/>
          <w:b/>
          <w:bCs/>
          <w:sz w:val="24"/>
          <w:szCs w:val="24"/>
        </w:rPr>
        <w:t xml:space="preserve">KI </w:t>
      </w:r>
      <w:r>
        <w:rPr>
          <w:rFonts w:ascii="Tahoma" w:hAnsi="Tahoma"/>
          <w:sz w:val="24"/>
          <w:szCs w:val="24"/>
        </w:rPr>
        <w:t xml:space="preserve">– alergie na látku, anémie, možné zvýšení nitrolebečního </w:t>
      </w:r>
      <w:r>
        <w:rPr>
          <w:rFonts w:ascii="Tahoma" w:hAnsi="Tahoma"/>
          <w:sz w:val="24"/>
          <w:szCs w:val="24"/>
        </w:rPr>
        <w:br/>
        <w:t>tlaku, primární plicní hypertenze</w:t>
      </w:r>
      <w:r>
        <w:rPr>
          <w:rFonts w:ascii="Tahoma" w:hAnsi="Tahoma"/>
          <w:sz w:val="24"/>
          <w:szCs w:val="24"/>
        </w:rPr>
        <w:br/>
      </w:r>
    </w:p>
    <w:p w:rsidR="00CF6FE7" w:rsidRDefault="001E6F25">
      <w:pPr>
        <w:pStyle w:val="Odstavecseseznamem"/>
        <w:numPr>
          <w:ilvl w:val="0"/>
          <w:numId w:val="1"/>
        </w:numPr>
        <w:spacing w:after="200" w:line="276" w:lineRule="auto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Způsob podání: </w:t>
      </w:r>
      <w:r>
        <w:rPr>
          <w:rFonts w:ascii="Tahoma" w:hAnsi="Tahoma"/>
          <w:sz w:val="24"/>
          <w:szCs w:val="24"/>
        </w:rPr>
        <w:t>sublingvální</w:t>
      </w:r>
      <w:r>
        <w:rPr>
          <w:rFonts w:ascii="Tahoma" w:hAnsi="Tahoma"/>
          <w:sz w:val="24"/>
          <w:szCs w:val="24"/>
        </w:rPr>
        <w:t xml:space="preserve"> sprej</w:t>
      </w:r>
    </w:p>
    <w:p w:rsidR="00CF6FE7" w:rsidRDefault="00CF6FE7">
      <w:pPr>
        <w:tabs>
          <w:tab w:val="left" w:pos="2063"/>
        </w:tabs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1E6F25">
      <w:pPr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margin">
              <wp:posOffset>188595</wp:posOffset>
            </wp:positionH>
            <wp:positionV relativeFrom="paragraph">
              <wp:posOffset>75565</wp:posOffset>
            </wp:positionV>
            <wp:extent cx="4953635" cy="4279900"/>
            <wp:effectExtent l="0" t="0" r="0" b="0"/>
            <wp:wrapTight wrapText="bothSides">
              <wp:wrapPolygon edited="0">
                <wp:start x="-19" y="0"/>
                <wp:lineTo x="-19" y="21519"/>
                <wp:lineTo x="21511" y="21519"/>
                <wp:lineTo x="21511" y="0"/>
                <wp:lineTo x="-19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1E6F25">
      <w:pPr>
        <w:rPr>
          <w:rFonts w:ascii="Tahoma" w:hAnsi="Tahoma"/>
        </w:rPr>
      </w:pPr>
      <w:r>
        <w:br w:type="page"/>
      </w:r>
    </w:p>
    <w:p w:rsidR="00CF6FE7" w:rsidRDefault="00CF6FE7">
      <w:pPr>
        <w:rPr>
          <w:rFonts w:ascii="Tahoma" w:hAnsi="Tahoma"/>
        </w:rPr>
      </w:pPr>
    </w:p>
    <w:p w:rsidR="00CF6FE7" w:rsidRDefault="001E6F25">
      <w:pPr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drawing>
          <wp:anchor distT="0" distB="0" distL="0" distR="0" simplePos="0" relativeHeight="4" behindDoc="1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74295</wp:posOffset>
            </wp:positionV>
            <wp:extent cx="4886325" cy="4282440"/>
            <wp:effectExtent l="0" t="0" r="0" b="0"/>
            <wp:wrapNone/>
            <wp:docPr id="3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FE7" w:rsidRDefault="00CF6FE7">
      <w:pPr>
        <w:rPr>
          <w:rFonts w:ascii="Tahoma" w:hAnsi="Tahoma"/>
        </w:rPr>
      </w:pPr>
    </w:p>
    <w:p w:rsidR="00CF6FE7" w:rsidRDefault="001E6F25">
      <w:pPr>
        <w:ind w:left="3540"/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 xml:space="preserve">               </w:t>
      </w:r>
    </w:p>
    <w:p w:rsidR="00CF6FE7" w:rsidRDefault="001E6F25">
      <w:pPr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  <w:t xml:space="preserve"> </w:t>
      </w:r>
      <w:r>
        <w:rPr>
          <w:rFonts w:ascii="Tahoma" w:hAnsi="Tahoma"/>
          <w:b/>
          <w:sz w:val="32"/>
          <w:szCs w:val="32"/>
        </w:rPr>
        <w:tab/>
        <w:t xml:space="preserve">      </w:t>
      </w:r>
      <w:proofErr w:type="spellStart"/>
      <w:r>
        <w:rPr>
          <w:rFonts w:ascii="Tahoma" w:hAnsi="Tahoma"/>
          <w:b/>
          <w:sz w:val="32"/>
          <w:szCs w:val="32"/>
        </w:rPr>
        <w:t>Arduan</w:t>
      </w:r>
      <w:proofErr w:type="spellEnd"/>
      <w:r>
        <w:rPr>
          <w:rFonts w:ascii="Tahoma" w:hAnsi="Tahoma"/>
          <w:b/>
          <w:sz w:val="32"/>
          <w:szCs w:val="32"/>
        </w:rPr>
        <w:br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24"/>
          <w:szCs w:val="24"/>
        </w:rPr>
        <w:t xml:space="preserve">         </w:t>
      </w:r>
      <w:proofErr w:type="spellStart"/>
      <w:r>
        <w:rPr>
          <w:rFonts w:ascii="Tahoma" w:hAnsi="Tahoma"/>
          <w:i/>
          <w:iCs/>
          <w:sz w:val="24"/>
          <w:szCs w:val="24"/>
        </w:rPr>
        <w:t>pipekuronium-bromin</w:t>
      </w:r>
      <w:proofErr w:type="spellEnd"/>
    </w:p>
    <w:p w:rsidR="00CF6FE7" w:rsidRDefault="001E6F25">
      <w:pPr>
        <w:numPr>
          <w:ilvl w:val="0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b/>
          <w:sz w:val="24"/>
          <w:szCs w:val="24"/>
        </w:rPr>
        <w:t>Terapeutická indikace</w:t>
      </w:r>
    </w:p>
    <w:p w:rsidR="00CF6FE7" w:rsidRDefault="001E6F25">
      <w:pPr>
        <w:numPr>
          <w:ilvl w:val="1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>indikován jakou součást celkové balancované</w:t>
      </w:r>
      <w:r>
        <w:rPr>
          <w:rFonts w:ascii="Tahoma" w:hAnsi="Tahoma"/>
          <w:sz w:val="24"/>
          <w:szCs w:val="24"/>
        </w:rPr>
        <w:br/>
        <w:t xml:space="preserve">anestézie, k zajištění reverzibilní relaxace příčně pruhovaného svalstva v souladu s </w:t>
      </w:r>
      <w:proofErr w:type="spellStart"/>
      <w:r>
        <w:rPr>
          <w:rFonts w:ascii="Tahoma" w:hAnsi="Tahoma"/>
          <w:sz w:val="24"/>
          <w:szCs w:val="24"/>
        </w:rPr>
        <w:t>chir</w:t>
      </w:r>
      <w:proofErr w:type="spellEnd"/>
      <w:r>
        <w:rPr>
          <w:rFonts w:ascii="Tahoma" w:hAnsi="Tahoma"/>
          <w:sz w:val="24"/>
          <w:szCs w:val="24"/>
        </w:rPr>
        <w:t>. indikacemi</w:t>
      </w:r>
    </w:p>
    <w:p w:rsidR="00CF6FE7" w:rsidRDefault="001E6F25">
      <w:pPr>
        <w:numPr>
          <w:ilvl w:val="0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b/>
          <w:bCs/>
          <w:sz w:val="24"/>
          <w:szCs w:val="24"/>
        </w:rPr>
        <w:t xml:space="preserve">Kontraindikace </w:t>
      </w:r>
    </w:p>
    <w:p w:rsidR="00CF6FE7" w:rsidRDefault="001E6F25">
      <w:pPr>
        <w:numPr>
          <w:ilvl w:val="1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 xml:space="preserve"> hypersenzitivita na léčivou látku</w:t>
      </w:r>
    </w:p>
    <w:p w:rsidR="00CF6FE7" w:rsidRDefault="001E6F25">
      <w:pPr>
        <w:numPr>
          <w:ilvl w:val="0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b/>
          <w:sz w:val="24"/>
          <w:szCs w:val="24"/>
        </w:rPr>
        <w:t>Způsob podání</w:t>
      </w:r>
    </w:p>
    <w:p w:rsidR="00CF6FE7" w:rsidRDefault="001E6F25">
      <w:pPr>
        <w:numPr>
          <w:ilvl w:val="1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 xml:space="preserve">intravenózně jako </w:t>
      </w:r>
      <w:r>
        <w:rPr>
          <w:rFonts w:ascii="Tahoma" w:hAnsi="Tahoma"/>
          <w:sz w:val="24"/>
          <w:szCs w:val="24"/>
        </w:rPr>
        <w:t>iniciální bolus, dále dle potřeby</w:t>
      </w:r>
    </w:p>
    <w:p w:rsidR="00CF6FE7" w:rsidRDefault="00CF6FE7">
      <w:pPr>
        <w:rPr>
          <w:rFonts w:ascii="Tahoma" w:hAnsi="Tahoma"/>
        </w:rPr>
      </w:pPr>
    </w:p>
    <w:p w:rsidR="00CF6FE7" w:rsidRDefault="001E6F25">
      <w:pPr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drawing>
          <wp:anchor distT="0" distB="0" distL="114300" distR="114300" simplePos="0" relativeHeight="7" behindDoc="0" locked="0" layoutInCell="1" allowOverlap="1">
            <wp:simplePos x="0" y="0"/>
            <wp:positionH relativeFrom="margin">
              <wp:posOffset>379095</wp:posOffset>
            </wp:positionH>
            <wp:positionV relativeFrom="paragraph">
              <wp:posOffset>560705</wp:posOffset>
            </wp:positionV>
            <wp:extent cx="4953635" cy="4279900"/>
            <wp:effectExtent l="0" t="0" r="0" b="0"/>
            <wp:wrapTight wrapText="bothSides">
              <wp:wrapPolygon edited="0">
                <wp:start x="-19" y="0"/>
                <wp:lineTo x="-19" y="21519"/>
                <wp:lineTo x="21511" y="21519"/>
                <wp:lineTo x="21511" y="0"/>
                <wp:lineTo x="-19" y="0"/>
              </wp:wrapPolygon>
            </wp:wrapTight>
            <wp:docPr id="4" name="Obráz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F6FE7" w:rsidRDefault="001E6F25">
      <w:pPr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lastRenderedPageBreak/>
        <w:drawing>
          <wp:anchor distT="0" distB="0" distL="0" distR="0" simplePos="0" relativeHeight="5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-80645</wp:posOffset>
            </wp:positionV>
            <wp:extent cx="4886325" cy="4282440"/>
            <wp:effectExtent l="0" t="0" r="0" b="0"/>
            <wp:wrapNone/>
            <wp:docPr id="5" name="Obrázek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F6FE7" w:rsidRDefault="00CF6FE7">
      <w:pPr>
        <w:rPr>
          <w:rFonts w:ascii="Tahoma" w:hAnsi="Tahoma"/>
        </w:rPr>
      </w:pPr>
    </w:p>
    <w:p w:rsidR="00CF6FE7" w:rsidRDefault="001E6F25">
      <w:pPr>
        <w:rPr>
          <w:b/>
          <w:sz w:val="32"/>
          <w:szCs w:val="32"/>
        </w:rPr>
      </w:pP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  <w:t xml:space="preserve">  </w:t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  <w:t xml:space="preserve">       </w:t>
      </w:r>
      <w:r>
        <w:rPr>
          <w:rFonts w:ascii="Tahoma" w:hAnsi="Tahoma"/>
          <w:b/>
          <w:sz w:val="32"/>
          <w:szCs w:val="32"/>
        </w:rPr>
        <w:tab/>
        <w:t xml:space="preserve">   </w:t>
      </w:r>
      <w:proofErr w:type="spellStart"/>
      <w:r>
        <w:rPr>
          <w:rFonts w:ascii="Tahoma" w:hAnsi="Tahoma"/>
          <w:b/>
          <w:sz w:val="32"/>
          <w:szCs w:val="32"/>
        </w:rPr>
        <w:t>Gynipral</w:t>
      </w:r>
      <w:proofErr w:type="spellEnd"/>
      <w:r>
        <w:rPr>
          <w:rFonts w:ascii="Tahoma" w:hAnsi="Tahoma"/>
          <w:b/>
          <w:sz w:val="32"/>
          <w:szCs w:val="32"/>
        </w:rPr>
        <w:br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24"/>
          <w:szCs w:val="24"/>
        </w:rPr>
        <w:t xml:space="preserve">        </w:t>
      </w:r>
      <w:proofErr w:type="spellStart"/>
      <w:r>
        <w:rPr>
          <w:rFonts w:ascii="Tahoma" w:hAnsi="Tahoma"/>
          <w:i/>
          <w:iCs/>
          <w:sz w:val="24"/>
          <w:szCs w:val="24"/>
        </w:rPr>
        <w:t>hexoprenalin</w:t>
      </w:r>
      <w:proofErr w:type="spellEnd"/>
      <w:r>
        <w:rPr>
          <w:rFonts w:ascii="Tahoma" w:hAnsi="Tahoma"/>
          <w:i/>
          <w:iCs/>
          <w:sz w:val="24"/>
          <w:szCs w:val="24"/>
        </w:rPr>
        <w:t xml:space="preserve"> - sulfát</w:t>
      </w:r>
    </w:p>
    <w:p w:rsidR="00CF6FE7" w:rsidRDefault="001E6F25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rFonts w:ascii="Tahoma" w:hAnsi="Tahoma"/>
          <w:b/>
          <w:sz w:val="24"/>
          <w:szCs w:val="24"/>
        </w:rPr>
        <w:t>Terapeutická indikace</w:t>
      </w:r>
    </w:p>
    <w:p w:rsidR="00CF6FE7" w:rsidRDefault="001E6F25">
      <w:pPr>
        <w:numPr>
          <w:ilvl w:val="1"/>
          <w:numId w:val="3"/>
        </w:numPr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>pro krátkodobé vedení nekomplikovaného</w:t>
      </w:r>
      <w:r>
        <w:rPr>
          <w:rFonts w:ascii="Tahoma" w:hAnsi="Tahoma"/>
          <w:sz w:val="24"/>
          <w:szCs w:val="24"/>
        </w:rPr>
        <w:br/>
        <w:t>předčasného porodu</w:t>
      </w:r>
    </w:p>
    <w:p w:rsidR="00CF6FE7" w:rsidRDefault="001E6F25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rFonts w:ascii="Tahoma" w:hAnsi="Tahoma"/>
          <w:b/>
          <w:bCs/>
          <w:sz w:val="24"/>
          <w:szCs w:val="24"/>
        </w:rPr>
        <w:t xml:space="preserve">Kontraindikace </w:t>
      </w:r>
    </w:p>
    <w:p w:rsidR="00CF6FE7" w:rsidRDefault="001E6F25">
      <w:pPr>
        <w:numPr>
          <w:ilvl w:val="1"/>
          <w:numId w:val="3"/>
        </w:numPr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>ICHS v anamnéze, onemocnění jater a ledvin, glaukom,</w:t>
      </w:r>
      <w:r>
        <w:rPr>
          <w:rFonts w:ascii="Tahoma" w:hAnsi="Tahoma"/>
          <w:sz w:val="24"/>
          <w:szCs w:val="24"/>
        </w:rPr>
        <w:br/>
        <w:t>astma,</w:t>
      </w:r>
      <w:r>
        <w:rPr>
          <w:rFonts w:ascii="Tahoma" w:hAnsi="Tahoma"/>
          <w:sz w:val="24"/>
          <w:szCs w:val="24"/>
        </w:rPr>
        <w:t xml:space="preserve"> </w:t>
      </w:r>
      <w:proofErr w:type="spellStart"/>
      <w:r>
        <w:rPr>
          <w:rFonts w:ascii="Tahoma" w:hAnsi="Tahoma"/>
          <w:sz w:val="24"/>
          <w:szCs w:val="24"/>
        </w:rPr>
        <w:t>tachyaritmie</w:t>
      </w:r>
      <w:proofErr w:type="spellEnd"/>
      <w:r>
        <w:rPr>
          <w:rFonts w:ascii="Tahoma" w:hAnsi="Tahoma"/>
          <w:sz w:val="24"/>
          <w:szCs w:val="24"/>
        </w:rPr>
        <w:t>, hypertenze</w:t>
      </w:r>
    </w:p>
    <w:p w:rsidR="00CF6FE7" w:rsidRDefault="001E6F25">
      <w:pPr>
        <w:numPr>
          <w:ilvl w:val="0"/>
          <w:numId w:val="3"/>
        </w:numPr>
        <w:rPr>
          <w:b/>
          <w:sz w:val="32"/>
          <w:szCs w:val="32"/>
        </w:rPr>
      </w:pPr>
      <w:r>
        <w:rPr>
          <w:rFonts w:ascii="Tahoma" w:hAnsi="Tahoma"/>
          <w:b/>
          <w:sz w:val="24"/>
          <w:szCs w:val="24"/>
        </w:rPr>
        <w:t>Způsob podání</w:t>
      </w:r>
    </w:p>
    <w:p w:rsidR="00CF6FE7" w:rsidRDefault="001E6F25">
      <w:pPr>
        <w:numPr>
          <w:ilvl w:val="1"/>
          <w:numId w:val="3"/>
        </w:numPr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>intravenózní podání</w:t>
      </w:r>
    </w:p>
    <w:p w:rsidR="00CF6FE7" w:rsidRDefault="00CF6FE7">
      <w:pPr>
        <w:pStyle w:val="Odstavecseseznamem"/>
        <w:spacing w:after="200" w:line="276" w:lineRule="auto"/>
        <w:ind w:left="1428"/>
        <w:rPr>
          <w:rFonts w:ascii="Tahoma" w:hAnsi="Tahoma"/>
        </w:rPr>
      </w:pPr>
    </w:p>
    <w:p w:rsidR="00CF6FE7" w:rsidRDefault="00CF6FE7">
      <w:pPr>
        <w:pStyle w:val="Odstavecseseznamem"/>
        <w:spacing w:after="200" w:line="276" w:lineRule="auto"/>
        <w:ind w:left="1428"/>
        <w:rPr>
          <w:rFonts w:ascii="Tahoma" w:hAnsi="Tahoma"/>
        </w:rPr>
      </w:pPr>
    </w:p>
    <w:p w:rsidR="00CF6FE7" w:rsidRDefault="00CF6FE7">
      <w:pPr>
        <w:pStyle w:val="Odstavecseseznamem"/>
        <w:spacing w:after="200" w:line="276" w:lineRule="auto"/>
        <w:ind w:left="2148"/>
        <w:rPr>
          <w:rFonts w:ascii="Tahoma" w:hAnsi="Tahoma"/>
        </w:rPr>
      </w:pPr>
    </w:p>
    <w:p w:rsidR="00CF6FE7" w:rsidRDefault="00CF6FE7">
      <w:pPr>
        <w:rPr>
          <w:rFonts w:ascii="Tahoma" w:hAnsi="Tahoma"/>
        </w:rPr>
      </w:pPr>
    </w:p>
    <w:p w:rsidR="00CF6FE7" w:rsidRDefault="001E6F25">
      <w:pPr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drawing>
          <wp:anchor distT="0" distB="0" distL="114300" distR="114300" simplePos="0" relativeHeight="8" behindDoc="0" locked="0" layoutInCell="1" allowOverlap="1">
            <wp:simplePos x="0" y="0"/>
            <wp:positionH relativeFrom="column">
              <wp:posOffset>512445</wp:posOffset>
            </wp:positionH>
            <wp:positionV relativeFrom="paragraph">
              <wp:posOffset>163195</wp:posOffset>
            </wp:positionV>
            <wp:extent cx="4953635" cy="4279900"/>
            <wp:effectExtent l="0" t="0" r="0" b="0"/>
            <wp:wrapTight wrapText="bothSides">
              <wp:wrapPolygon edited="0">
                <wp:start x="-19" y="0"/>
                <wp:lineTo x="-19" y="21519"/>
                <wp:lineTo x="21511" y="21519"/>
                <wp:lineTo x="21511" y="0"/>
                <wp:lineTo x="-19" y="0"/>
              </wp:wrapPolygon>
            </wp:wrapTight>
            <wp:docPr id="6" name="Obrázek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page"/>
      </w:r>
    </w:p>
    <w:p w:rsidR="00CF6FE7" w:rsidRDefault="001E6F25">
      <w:pPr>
        <w:rPr>
          <w:b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0" distR="0" simplePos="0" relativeHeight="6" behindDoc="1" locked="0" layoutInCell="1" allowOverlap="1">
            <wp:simplePos x="0" y="0"/>
            <wp:positionH relativeFrom="column">
              <wp:posOffset>433705</wp:posOffset>
            </wp:positionH>
            <wp:positionV relativeFrom="paragraph">
              <wp:posOffset>-652145</wp:posOffset>
            </wp:positionV>
            <wp:extent cx="4972050" cy="4282440"/>
            <wp:effectExtent l="0" t="0" r="0" b="0"/>
            <wp:wrapNone/>
            <wp:docPr id="7" name="Obrázek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  <w:t xml:space="preserve">     </w:t>
      </w:r>
      <w:r>
        <w:rPr>
          <w:rFonts w:ascii="Tahoma" w:hAnsi="Tahoma"/>
          <w:b/>
          <w:sz w:val="32"/>
          <w:szCs w:val="32"/>
        </w:rPr>
        <w:tab/>
        <w:t xml:space="preserve">  </w:t>
      </w:r>
      <w:proofErr w:type="spellStart"/>
      <w:r>
        <w:rPr>
          <w:rFonts w:ascii="Tahoma" w:hAnsi="Tahoma"/>
          <w:b/>
          <w:sz w:val="32"/>
          <w:szCs w:val="32"/>
        </w:rPr>
        <w:t>Plegomazin</w:t>
      </w:r>
      <w:proofErr w:type="spellEnd"/>
      <w:r>
        <w:rPr>
          <w:rFonts w:ascii="Tahoma" w:hAnsi="Tahoma"/>
          <w:b/>
          <w:sz w:val="32"/>
          <w:szCs w:val="32"/>
        </w:rPr>
        <w:br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32"/>
          <w:szCs w:val="32"/>
        </w:rPr>
        <w:tab/>
      </w:r>
      <w:r>
        <w:rPr>
          <w:rFonts w:ascii="Tahoma" w:hAnsi="Tahoma"/>
          <w:b/>
          <w:sz w:val="24"/>
          <w:szCs w:val="24"/>
        </w:rPr>
        <w:t xml:space="preserve">    </w:t>
      </w:r>
      <w:r>
        <w:rPr>
          <w:rFonts w:ascii="Tahoma" w:hAnsi="Tahoma"/>
          <w:i/>
          <w:iCs/>
          <w:sz w:val="24"/>
          <w:szCs w:val="24"/>
        </w:rPr>
        <w:t xml:space="preserve">chlorpromazin - </w:t>
      </w:r>
      <w:proofErr w:type="spellStart"/>
      <w:r>
        <w:rPr>
          <w:rFonts w:ascii="Tahoma" w:hAnsi="Tahoma"/>
          <w:i/>
          <w:iCs/>
          <w:sz w:val="24"/>
          <w:szCs w:val="24"/>
        </w:rPr>
        <w:t>hydrochlorid</w:t>
      </w:r>
      <w:proofErr w:type="spellEnd"/>
    </w:p>
    <w:p w:rsidR="00CF6FE7" w:rsidRDefault="001E6F25">
      <w:pPr>
        <w:numPr>
          <w:ilvl w:val="0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b/>
          <w:sz w:val="24"/>
          <w:szCs w:val="24"/>
        </w:rPr>
        <w:t>Terapeutická indikace</w:t>
      </w:r>
    </w:p>
    <w:p w:rsidR="00CF6FE7" w:rsidRDefault="001E6F25">
      <w:pPr>
        <w:numPr>
          <w:ilvl w:val="1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>zvládání motorického a psychického neklidu u dospělých v</w:t>
      </w:r>
      <w:r>
        <w:rPr>
          <w:rFonts w:ascii="Tahoma" w:hAnsi="Tahoma"/>
          <w:sz w:val="24"/>
          <w:szCs w:val="24"/>
        </w:rPr>
        <w:br/>
        <w:t xml:space="preserve">následujících případech: schizofrenie, těžké </w:t>
      </w:r>
      <w:r>
        <w:rPr>
          <w:rFonts w:ascii="Tahoma" w:hAnsi="Tahoma"/>
          <w:sz w:val="24"/>
          <w:szCs w:val="24"/>
        </w:rPr>
        <w:t>poruchy chování,</w:t>
      </w:r>
      <w:r>
        <w:rPr>
          <w:rFonts w:ascii="Tahoma" w:hAnsi="Tahoma"/>
          <w:sz w:val="24"/>
          <w:szCs w:val="24"/>
        </w:rPr>
        <w:br/>
        <w:t>bipolární manická fáze. Medikace u těžkých popálenin</w:t>
      </w:r>
    </w:p>
    <w:p w:rsidR="00CF6FE7" w:rsidRDefault="001E6F25">
      <w:pPr>
        <w:numPr>
          <w:ilvl w:val="0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b/>
          <w:bCs/>
          <w:sz w:val="24"/>
          <w:szCs w:val="24"/>
        </w:rPr>
        <w:t xml:space="preserve">Kontraindikace </w:t>
      </w:r>
    </w:p>
    <w:p w:rsidR="00CF6FE7" w:rsidRDefault="001E6F25">
      <w:pPr>
        <w:numPr>
          <w:ilvl w:val="1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 xml:space="preserve"> hypersenzitivita, glaukom, riziko retence moči, kojení,</w:t>
      </w:r>
      <w:r>
        <w:rPr>
          <w:rFonts w:ascii="Tahoma" w:hAnsi="Tahoma"/>
          <w:sz w:val="24"/>
          <w:szCs w:val="24"/>
        </w:rPr>
        <w:br/>
        <w:t xml:space="preserve">užívání </w:t>
      </w:r>
      <w:proofErr w:type="spellStart"/>
      <w:r>
        <w:rPr>
          <w:rFonts w:ascii="Tahoma" w:hAnsi="Tahoma"/>
          <w:sz w:val="24"/>
          <w:szCs w:val="24"/>
        </w:rPr>
        <w:t>citalopramu</w:t>
      </w:r>
      <w:proofErr w:type="spellEnd"/>
      <w:r>
        <w:rPr>
          <w:rFonts w:ascii="Tahoma" w:hAnsi="Tahoma"/>
          <w:sz w:val="24"/>
          <w:szCs w:val="24"/>
        </w:rPr>
        <w:t>!!</w:t>
      </w:r>
    </w:p>
    <w:p w:rsidR="00CF6FE7" w:rsidRDefault="001E6F25">
      <w:pPr>
        <w:numPr>
          <w:ilvl w:val="0"/>
          <w:numId w:val="3"/>
        </w:numPr>
        <w:spacing w:after="103"/>
        <w:rPr>
          <w:b/>
          <w:sz w:val="32"/>
          <w:szCs w:val="32"/>
        </w:rPr>
      </w:pPr>
      <w:r>
        <w:rPr>
          <w:rFonts w:ascii="Tahoma" w:hAnsi="Tahoma"/>
          <w:b/>
          <w:sz w:val="24"/>
          <w:szCs w:val="24"/>
        </w:rPr>
        <w:t>Způsob podání</w:t>
      </w:r>
    </w:p>
    <w:p w:rsidR="00CF6FE7" w:rsidRDefault="001E6F25">
      <w:pPr>
        <w:numPr>
          <w:ilvl w:val="1"/>
          <w:numId w:val="3"/>
        </w:numPr>
        <w:rPr>
          <w:b/>
          <w:sz w:val="32"/>
          <w:szCs w:val="32"/>
        </w:rPr>
      </w:pPr>
      <w:r>
        <w:rPr>
          <w:rFonts w:ascii="Tahoma" w:hAnsi="Tahoma"/>
          <w:sz w:val="24"/>
          <w:szCs w:val="24"/>
        </w:rPr>
        <w:t>intramuskulární podání</w:t>
      </w:r>
    </w:p>
    <w:p w:rsidR="00CF6FE7" w:rsidRDefault="00CF6FE7">
      <w:pPr>
        <w:ind w:left="3540" w:firstLine="708"/>
        <w:rPr>
          <w:b/>
          <w:sz w:val="32"/>
          <w:szCs w:val="32"/>
        </w:rPr>
      </w:pPr>
    </w:p>
    <w:p w:rsidR="00CF6FE7" w:rsidRDefault="001E6F25">
      <w:pPr>
        <w:rPr>
          <w:rFonts w:ascii="Tahoma" w:hAnsi="Tahoma"/>
        </w:rPr>
      </w:pPr>
      <w:r>
        <w:rPr>
          <w:rFonts w:ascii="Tahoma" w:hAnsi="Tahoma"/>
          <w:noProof/>
          <w:lang w:eastAsia="cs-CZ"/>
        </w:rPr>
        <w:drawing>
          <wp:anchor distT="0" distB="0" distL="114300" distR="114300" simplePos="0" relativeHeight="9" behindDoc="0" locked="0" layoutInCell="1" allowOverlap="1">
            <wp:simplePos x="0" y="0"/>
            <wp:positionH relativeFrom="margin">
              <wp:posOffset>455295</wp:posOffset>
            </wp:positionH>
            <wp:positionV relativeFrom="paragraph">
              <wp:posOffset>2084070</wp:posOffset>
            </wp:positionV>
            <wp:extent cx="4953635" cy="4279900"/>
            <wp:effectExtent l="0" t="0" r="0" b="0"/>
            <wp:wrapTight wrapText="bothSides">
              <wp:wrapPolygon edited="0">
                <wp:start x="-19" y="0"/>
                <wp:lineTo x="-19" y="21519"/>
                <wp:lineTo x="21511" y="21519"/>
                <wp:lineTo x="21511" y="0"/>
                <wp:lineTo x="-19" y="0"/>
              </wp:wrapPolygon>
            </wp:wrapTight>
            <wp:docPr id="8" name="Obrázek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CF6FE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4FDF"/>
    <w:multiLevelType w:val="multilevel"/>
    <w:tmpl w:val="BF0EEC5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5414E"/>
    <w:multiLevelType w:val="multilevel"/>
    <w:tmpl w:val="2C46BE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AF517A"/>
    <w:multiLevelType w:val="multilevel"/>
    <w:tmpl w:val="1B30511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2D37EA"/>
    <w:multiLevelType w:val="multilevel"/>
    <w:tmpl w:val="B92AF97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788"/>
        </w:tabs>
        <w:ind w:left="178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48"/>
        </w:tabs>
        <w:ind w:left="214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68"/>
        </w:tabs>
        <w:ind w:left="286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28"/>
        </w:tabs>
        <w:ind w:left="322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48"/>
        </w:tabs>
        <w:ind w:left="394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08"/>
        </w:tabs>
        <w:ind w:left="4308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E7"/>
    <w:rsid w:val="001E6F25"/>
    <w:rsid w:val="00C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CE5A"/>
  <w15:docId w15:val="{2E1F4C24-8E92-4CAA-A585-E8E478F6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993"/>
    <w:pPr>
      <w:spacing w:after="160" w:line="259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53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2536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213</Words>
  <Characters>1262</Characters>
  <Application>Microsoft Office Word</Application>
  <DocSecurity>0</DocSecurity>
  <Lines>10</Lines>
  <Paragraphs>2</Paragraphs>
  <ScaleCrop>false</ScaleCrop>
  <Company>VSZDRAV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dc:description/>
  <cp:lastModifiedBy>Matěj Hříbal</cp:lastModifiedBy>
  <cp:revision>8</cp:revision>
  <dcterms:created xsi:type="dcterms:W3CDTF">2020-03-08T20:02:00Z</dcterms:created>
  <dcterms:modified xsi:type="dcterms:W3CDTF">2021-02-18T19:43:00Z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VSZDRAV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