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DAE58" w14:textId="726D579A" w:rsidR="008C7A17" w:rsidRDefault="008C7A17" w:rsidP="00FC4C8F">
      <w:pPr>
        <w:pStyle w:val="Standard"/>
        <w:ind w:right="1134"/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2FC9FEE2" wp14:editId="52AE1A0E">
            <wp:simplePos x="0" y="0"/>
            <wp:positionH relativeFrom="margin">
              <wp:align>center</wp:align>
            </wp:positionH>
            <wp:positionV relativeFrom="paragraph">
              <wp:posOffset>-125095</wp:posOffset>
            </wp:positionV>
            <wp:extent cx="4886325" cy="4282440"/>
            <wp:effectExtent l="0" t="0" r="9525" b="381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75703" w14:textId="3EEBAD8A" w:rsidR="00EB19B5" w:rsidRDefault="00EB19B5" w:rsidP="008C7A17">
      <w:pPr>
        <w:pStyle w:val="Standard"/>
        <w:ind w:left="1134" w:right="1134"/>
        <w:jc w:val="center"/>
        <w:rPr>
          <w:b/>
          <w:bCs/>
        </w:rPr>
      </w:pPr>
      <w:proofErr w:type="gramStart"/>
      <w:r>
        <w:rPr>
          <w:b/>
          <w:bCs/>
        </w:rPr>
        <w:t>Paralen(</w:t>
      </w:r>
      <w:proofErr w:type="gramEnd"/>
      <w:r>
        <w:rPr>
          <w:b/>
          <w:bCs/>
        </w:rPr>
        <w:t>Paracetamol)</w:t>
      </w:r>
    </w:p>
    <w:p w14:paraId="1B2708F7" w14:textId="438F9B16" w:rsidR="008C7A17" w:rsidRDefault="008C7A17" w:rsidP="008C7A17">
      <w:pPr>
        <w:pStyle w:val="Standard"/>
        <w:ind w:left="1134" w:right="1134"/>
        <w:jc w:val="center"/>
        <w:rPr>
          <w:b/>
          <w:bCs/>
        </w:rPr>
      </w:pPr>
    </w:p>
    <w:p w14:paraId="773D6D09" w14:textId="77777777" w:rsidR="008C7A17" w:rsidRDefault="008C7A17" w:rsidP="008C7A17">
      <w:pPr>
        <w:pStyle w:val="Standard"/>
        <w:ind w:left="1134" w:right="1134"/>
        <w:jc w:val="center"/>
        <w:rPr>
          <w:b/>
          <w:bCs/>
        </w:rPr>
      </w:pPr>
    </w:p>
    <w:p w14:paraId="6114C997" w14:textId="69808AF9" w:rsidR="00C535A3" w:rsidRPr="008C7A17" w:rsidRDefault="00EB19B5" w:rsidP="008C7A17">
      <w:pPr>
        <w:pStyle w:val="Standard"/>
        <w:numPr>
          <w:ilvl w:val="0"/>
          <w:numId w:val="5"/>
        </w:numPr>
        <w:spacing w:line="360" w:lineRule="auto"/>
        <w:ind w:left="1134" w:right="1134" w:firstLine="0"/>
        <w:textAlignment w:val="baseline"/>
        <w:rPr>
          <w:rFonts w:asciiTheme="minorHAnsi" w:hAnsiTheme="minorHAnsi" w:cstheme="minorHAnsi"/>
          <w:kern w:val="4"/>
          <w:sz w:val="18"/>
          <w:szCs w:val="18"/>
        </w:rPr>
      </w:pPr>
      <w:r w:rsidRPr="008C7A17">
        <w:rPr>
          <w:rFonts w:asciiTheme="minorHAnsi" w:hAnsiTheme="minorHAnsi" w:cstheme="minorHAnsi"/>
          <w:kern w:val="4"/>
          <w:sz w:val="18"/>
          <w:szCs w:val="18"/>
        </w:rPr>
        <w:t xml:space="preserve">je analgetikum a antipyretikum, není protizánětlivé, tlumí </w:t>
      </w:r>
      <w:proofErr w:type="gramStart"/>
      <w:r w:rsidRPr="008C7A17">
        <w:rPr>
          <w:rFonts w:asciiTheme="minorHAnsi" w:hAnsiTheme="minorHAnsi" w:cstheme="minorHAnsi"/>
          <w:kern w:val="4"/>
          <w:sz w:val="18"/>
          <w:szCs w:val="18"/>
        </w:rPr>
        <w:t>emoce(</w:t>
      </w:r>
      <w:proofErr w:type="gramEnd"/>
      <w:r w:rsidRPr="008C7A17">
        <w:rPr>
          <w:rFonts w:asciiTheme="minorHAnsi" w:hAnsiTheme="minorHAnsi" w:cstheme="minorHAnsi"/>
          <w:kern w:val="4"/>
          <w:sz w:val="18"/>
          <w:szCs w:val="18"/>
        </w:rPr>
        <w:t>pozitivní i negativní)</w:t>
      </w:r>
    </w:p>
    <w:p w14:paraId="4408BF65" w14:textId="654B0DDC" w:rsidR="00C535A3" w:rsidRPr="008C7A17" w:rsidRDefault="00EB19B5" w:rsidP="008C7A17">
      <w:pPr>
        <w:pStyle w:val="Standard"/>
        <w:numPr>
          <w:ilvl w:val="0"/>
          <w:numId w:val="5"/>
        </w:numPr>
        <w:spacing w:line="360" w:lineRule="auto"/>
        <w:ind w:left="1134" w:right="1134" w:firstLine="0"/>
        <w:textAlignment w:val="baseline"/>
        <w:rPr>
          <w:rFonts w:asciiTheme="minorHAnsi" w:hAnsiTheme="minorHAnsi" w:cstheme="minorHAnsi"/>
          <w:kern w:val="4"/>
          <w:sz w:val="18"/>
          <w:szCs w:val="18"/>
        </w:rPr>
      </w:pPr>
      <w:r w:rsidRPr="008C7A17">
        <w:rPr>
          <w:rFonts w:asciiTheme="minorHAnsi" w:hAnsiTheme="minorHAnsi" w:cstheme="minorHAnsi"/>
          <w:kern w:val="4"/>
          <w:sz w:val="18"/>
          <w:szCs w:val="18"/>
        </w:rPr>
        <w:t>podáván ústně/rektálně/infuzí a nitrosvalovou aplikací, mohou ho užívat i děti</w:t>
      </w:r>
      <w:r w:rsidR="00FC4C8F">
        <w:rPr>
          <w:rFonts w:asciiTheme="minorHAnsi" w:hAnsiTheme="minorHAnsi" w:cstheme="minorHAnsi"/>
          <w:kern w:val="4"/>
          <w:sz w:val="18"/>
          <w:szCs w:val="18"/>
        </w:rPr>
        <w:t>.</w:t>
      </w:r>
    </w:p>
    <w:p w14:paraId="1EA36E12" w14:textId="3C83668E" w:rsidR="00EB19B5" w:rsidRPr="008C7A17" w:rsidRDefault="00EB19B5" w:rsidP="008C7A17">
      <w:pPr>
        <w:pStyle w:val="Standard"/>
        <w:numPr>
          <w:ilvl w:val="0"/>
          <w:numId w:val="5"/>
        </w:numPr>
        <w:spacing w:line="360" w:lineRule="auto"/>
        <w:ind w:left="1134" w:right="1134" w:firstLine="0"/>
        <w:textAlignment w:val="baseline"/>
        <w:rPr>
          <w:rFonts w:asciiTheme="minorHAnsi" w:hAnsiTheme="minorHAnsi" w:cstheme="minorHAnsi"/>
          <w:kern w:val="4"/>
          <w:sz w:val="18"/>
          <w:szCs w:val="18"/>
        </w:rPr>
      </w:pPr>
      <w:r w:rsidRPr="008C7A17">
        <w:rPr>
          <w:rFonts w:asciiTheme="minorHAnsi" w:hAnsiTheme="minorHAnsi" w:cstheme="minorHAnsi"/>
          <w:kern w:val="4"/>
          <w:sz w:val="18"/>
          <w:szCs w:val="18"/>
        </w:rPr>
        <w:t xml:space="preserve">obvyklé dávkování je 500-1000mg v jedné </w:t>
      </w:r>
      <w:proofErr w:type="gramStart"/>
      <w:r w:rsidRPr="008C7A17">
        <w:rPr>
          <w:rFonts w:asciiTheme="minorHAnsi" w:hAnsiTheme="minorHAnsi" w:cstheme="minorHAnsi"/>
          <w:kern w:val="4"/>
          <w:sz w:val="18"/>
          <w:szCs w:val="18"/>
        </w:rPr>
        <w:t>dávce(</w:t>
      </w:r>
      <w:proofErr w:type="gramEnd"/>
      <w:r w:rsidRPr="008C7A17">
        <w:rPr>
          <w:rFonts w:asciiTheme="minorHAnsi" w:hAnsiTheme="minorHAnsi" w:cstheme="minorHAnsi"/>
          <w:kern w:val="4"/>
          <w:sz w:val="18"/>
          <w:szCs w:val="18"/>
        </w:rPr>
        <w:t>1-2 tablety Paralenu), lze opakovat po 4-6h, maximálně 8 tablet denně</w:t>
      </w:r>
    </w:p>
    <w:p w14:paraId="7EC25CFC" w14:textId="1379ED22" w:rsidR="00EB19B5" w:rsidRPr="008C7A17" w:rsidRDefault="00EB19B5" w:rsidP="008C7A17">
      <w:pPr>
        <w:pStyle w:val="Standard"/>
        <w:numPr>
          <w:ilvl w:val="0"/>
          <w:numId w:val="5"/>
        </w:numPr>
        <w:spacing w:line="360" w:lineRule="auto"/>
        <w:ind w:left="1134" w:right="1134" w:firstLine="0"/>
        <w:textAlignment w:val="baseline"/>
        <w:rPr>
          <w:rFonts w:asciiTheme="minorHAnsi" w:hAnsiTheme="minorHAnsi" w:cstheme="minorHAnsi"/>
          <w:b/>
          <w:bCs/>
          <w:kern w:val="4"/>
          <w:sz w:val="18"/>
          <w:szCs w:val="18"/>
        </w:rPr>
      </w:pPr>
      <w:r w:rsidRPr="008C7A17">
        <w:rPr>
          <w:rFonts w:asciiTheme="minorHAnsi" w:hAnsiTheme="minorHAnsi" w:cstheme="minorHAnsi"/>
          <w:b/>
          <w:bCs/>
          <w:kern w:val="4"/>
          <w:sz w:val="18"/>
          <w:szCs w:val="18"/>
        </w:rPr>
        <w:t>terapeutická indikace:</w:t>
      </w:r>
      <w:r w:rsidRPr="008C7A17">
        <w:rPr>
          <w:rFonts w:asciiTheme="minorHAnsi" w:hAnsiTheme="minorHAnsi" w:cstheme="minorHAnsi"/>
          <w:kern w:val="4"/>
          <w:sz w:val="18"/>
          <w:szCs w:val="18"/>
        </w:rPr>
        <w:t xml:space="preserve"> přehřátí organismu, bolest, </w:t>
      </w:r>
      <w:proofErr w:type="spellStart"/>
      <w:r w:rsidRPr="008C7A17">
        <w:rPr>
          <w:rFonts w:asciiTheme="minorHAnsi" w:hAnsiTheme="minorHAnsi" w:cstheme="minorHAnsi"/>
          <w:kern w:val="4"/>
          <w:sz w:val="18"/>
          <w:szCs w:val="18"/>
        </w:rPr>
        <w:t>infuenza</w:t>
      </w:r>
      <w:proofErr w:type="spellEnd"/>
      <w:r w:rsidRPr="008C7A17">
        <w:rPr>
          <w:rFonts w:asciiTheme="minorHAnsi" w:hAnsiTheme="minorHAnsi" w:cstheme="minorHAnsi"/>
          <w:kern w:val="4"/>
          <w:sz w:val="18"/>
          <w:szCs w:val="18"/>
        </w:rPr>
        <w:t xml:space="preserve">, náchylnost k </w:t>
      </w:r>
      <w:proofErr w:type="spellStart"/>
      <w:r w:rsidRPr="008C7A17">
        <w:rPr>
          <w:rFonts w:asciiTheme="minorHAnsi" w:hAnsiTheme="minorHAnsi" w:cstheme="minorHAnsi"/>
          <w:kern w:val="4"/>
          <w:sz w:val="18"/>
          <w:szCs w:val="18"/>
        </w:rPr>
        <w:t>nasofaryngitidě</w:t>
      </w:r>
      <w:proofErr w:type="spellEnd"/>
    </w:p>
    <w:p w14:paraId="01763573" w14:textId="3245A051" w:rsidR="00EB19B5" w:rsidRPr="008C7A17" w:rsidRDefault="00EB19B5" w:rsidP="008C7A17">
      <w:pPr>
        <w:pStyle w:val="Standard"/>
        <w:numPr>
          <w:ilvl w:val="0"/>
          <w:numId w:val="5"/>
        </w:numPr>
        <w:spacing w:line="360" w:lineRule="auto"/>
        <w:ind w:left="1134" w:right="1134" w:firstLine="0"/>
        <w:textAlignment w:val="baseline"/>
        <w:rPr>
          <w:rFonts w:asciiTheme="minorHAnsi" w:hAnsiTheme="minorHAnsi" w:cstheme="minorHAnsi"/>
          <w:kern w:val="4"/>
          <w:sz w:val="18"/>
          <w:szCs w:val="18"/>
        </w:rPr>
      </w:pPr>
      <w:r w:rsidRPr="008C7A17">
        <w:rPr>
          <w:rFonts w:asciiTheme="minorHAnsi" w:hAnsiTheme="minorHAnsi" w:cstheme="minorHAnsi"/>
          <w:b/>
          <w:bCs/>
          <w:kern w:val="4"/>
          <w:sz w:val="18"/>
          <w:szCs w:val="18"/>
        </w:rPr>
        <w:t>kontraindikace</w:t>
      </w:r>
      <w:r w:rsidRPr="008C7A17">
        <w:rPr>
          <w:rFonts w:asciiTheme="minorHAnsi" w:hAnsiTheme="minorHAnsi" w:cstheme="minorHAnsi"/>
          <w:kern w:val="4"/>
          <w:sz w:val="18"/>
          <w:szCs w:val="18"/>
        </w:rPr>
        <w:t xml:space="preserve">: přecitlivělost na </w:t>
      </w:r>
      <w:proofErr w:type="spellStart"/>
      <w:r w:rsidRPr="008C7A17">
        <w:rPr>
          <w:rFonts w:asciiTheme="minorHAnsi" w:hAnsiTheme="minorHAnsi" w:cstheme="minorHAnsi"/>
          <w:kern w:val="4"/>
          <w:sz w:val="18"/>
          <w:szCs w:val="18"/>
        </w:rPr>
        <w:t>paracetol</w:t>
      </w:r>
      <w:proofErr w:type="spellEnd"/>
      <w:r w:rsidRPr="008C7A17">
        <w:rPr>
          <w:rFonts w:asciiTheme="minorHAnsi" w:hAnsiTheme="minorHAnsi" w:cstheme="minorHAnsi"/>
          <w:kern w:val="4"/>
          <w:sz w:val="18"/>
          <w:szCs w:val="18"/>
        </w:rPr>
        <w:t xml:space="preserve">, </w:t>
      </w:r>
      <w:proofErr w:type="gramStart"/>
      <w:r w:rsidRPr="008C7A17">
        <w:rPr>
          <w:rFonts w:asciiTheme="minorHAnsi" w:hAnsiTheme="minorHAnsi" w:cstheme="minorHAnsi"/>
          <w:kern w:val="4"/>
          <w:sz w:val="18"/>
          <w:szCs w:val="18"/>
        </w:rPr>
        <w:t>alkohol(</w:t>
      </w:r>
      <w:proofErr w:type="gramEnd"/>
      <w:r w:rsidRPr="008C7A17">
        <w:rPr>
          <w:rFonts w:asciiTheme="minorHAnsi" w:hAnsiTheme="minorHAnsi" w:cstheme="minorHAnsi"/>
          <w:kern w:val="4"/>
          <w:sz w:val="18"/>
          <w:szCs w:val="18"/>
        </w:rPr>
        <w:t xml:space="preserve">s vyšší dávkou alkoholu </w:t>
      </w:r>
      <w:r w:rsidR="008C7A17">
        <w:rPr>
          <w:rFonts w:asciiTheme="minorHAnsi" w:hAnsiTheme="minorHAnsi" w:cstheme="minorHAnsi"/>
          <w:kern w:val="4"/>
          <w:sz w:val="18"/>
          <w:szCs w:val="18"/>
        </w:rPr>
        <w:t xml:space="preserve">je </w:t>
      </w:r>
      <w:proofErr w:type="spellStart"/>
      <w:r w:rsidRPr="008C7A17">
        <w:rPr>
          <w:rFonts w:asciiTheme="minorHAnsi" w:hAnsiTheme="minorHAnsi" w:cstheme="minorHAnsi"/>
          <w:kern w:val="4"/>
          <w:sz w:val="18"/>
          <w:szCs w:val="18"/>
        </w:rPr>
        <w:t>hepatotoxický</w:t>
      </w:r>
      <w:proofErr w:type="spellEnd"/>
      <w:r w:rsidRPr="008C7A17">
        <w:rPr>
          <w:rFonts w:asciiTheme="minorHAnsi" w:hAnsiTheme="minorHAnsi" w:cstheme="minorHAnsi"/>
          <w:kern w:val="4"/>
          <w:sz w:val="18"/>
          <w:szCs w:val="18"/>
        </w:rPr>
        <w:t xml:space="preserve"> a způsobí selhání jater), může se objevit alergická kožní reakce, snížení plodnosti</w:t>
      </w:r>
    </w:p>
    <w:p w14:paraId="2EED20AB" w14:textId="0967F70C" w:rsidR="00EB19B5" w:rsidRPr="008C7A17" w:rsidRDefault="00EB19B5" w:rsidP="008C7A17">
      <w:pPr>
        <w:pStyle w:val="Standard"/>
        <w:numPr>
          <w:ilvl w:val="0"/>
          <w:numId w:val="5"/>
        </w:numPr>
        <w:spacing w:line="360" w:lineRule="auto"/>
        <w:ind w:left="1134" w:right="1134" w:firstLine="0"/>
        <w:textAlignment w:val="baseline"/>
        <w:rPr>
          <w:rFonts w:asciiTheme="minorHAnsi" w:hAnsiTheme="minorHAnsi" w:cstheme="minorHAnsi"/>
          <w:kern w:val="4"/>
          <w:sz w:val="18"/>
          <w:szCs w:val="18"/>
        </w:rPr>
      </w:pPr>
      <w:r w:rsidRPr="008C7A17">
        <w:rPr>
          <w:rFonts w:asciiTheme="minorHAnsi" w:hAnsiTheme="minorHAnsi" w:cstheme="minorHAnsi"/>
          <w:color w:val="000000"/>
          <w:kern w:val="4"/>
          <w:sz w:val="18"/>
          <w:szCs w:val="18"/>
        </w:rPr>
        <w:t xml:space="preserve">Paracetamol </w:t>
      </w:r>
      <w:r w:rsidRPr="008C7A17">
        <w:rPr>
          <w:rFonts w:asciiTheme="minorHAnsi" w:hAnsiTheme="minorHAnsi" w:cstheme="minorHAnsi"/>
          <w:b/>
          <w:bCs/>
          <w:color w:val="000000"/>
          <w:kern w:val="4"/>
          <w:sz w:val="18"/>
          <w:szCs w:val="18"/>
        </w:rPr>
        <w:t>nesmí být užíván</w:t>
      </w:r>
      <w:r w:rsidRPr="008C7A17">
        <w:rPr>
          <w:rFonts w:asciiTheme="minorHAnsi" w:hAnsiTheme="minorHAnsi" w:cstheme="minorHAnsi"/>
          <w:color w:val="000000"/>
          <w:kern w:val="4"/>
          <w:sz w:val="18"/>
          <w:szCs w:val="18"/>
        </w:rPr>
        <w:t xml:space="preserve"> spolu s jinými </w:t>
      </w:r>
      <w:hyperlink r:id="rId6" w:history="1">
        <w:r w:rsidRPr="008C7A17">
          <w:rPr>
            <w:rFonts w:asciiTheme="minorHAnsi" w:hAnsiTheme="minorHAnsi" w:cstheme="minorHAnsi"/>
            <w:color w:val="000000"/>
            <w:kern w:val="4"/>
            <w:sz w:val="18"/>
            <w:szCs w:val="18"/>
            <w:shd w:val="clear" w:color="auto" w:fill="FFFFFF"/>
          </w:rPr>
          <w:t>inhibitory COX-2</w:t>
        </w:r>
      </w:hyperlink>
      <w:r w:rsidRPr="008C7A17">
        <w:rPr>
          <w:rFonts w:asciiTheme="minorHAnsi" w:hAnsiTheme="minorHAnsi" w:cstheme="minorHAnsi"/>
          <w:color w:val="000000"/>
          <w:kern w:val="4"/>
          <w:sz w:val="18"/>
          <w:szCs w:val="18"/>
        </w:rPr>
        <w:t xml:space="preserve">, například </w:t>
      </w:r>
      <w:proofErr w:type="spellStart"/>
      <w:r w:rsidRPr="008C7A17">
        <w:rPr>
          <w:rFonts w:asciiTheme="minorHAnsi" w:hAnsiTheme="minorHAnsi" w:cstheme="minorHAnsi"/>
          <w:color w:val="000000"/>
          <w:kern w:val="4"/>
          <w:sz w:val="18"/>
          <w:szCs w:val="18"/>
        </w:rPr>
        <w:t>nimesulidem</w:t>
      </w:r>
      <w:proofErr w:type="spellEnd"/>
      <w:r w:rsidRPr="008C7A17">
        <w:rPr>
          <w:rFonts w:asciiTheme="minorHAnsi" w:hAnsiTheme="minorHAnsi" w:cstheme="minorHAnsi"/>
          <w:color w:val="000000"/>
          <w:kern w:val="4"/>
          <w:sz w:val="18"/>
          <w:szCs w:val="18"/>
          <w:shd w:val="clear" w:color="auto" w:fill="FFFFFF"/>
        </w:rPr>
        <w:t xml:space="preserve"> </w:t>
      </w:r>
      <w:r w:rsidRPr="008C7A17">
        <w:rPr>
          <w:rFonts w:asciiTheme="minorHAnsi" w:hAnsiTheme="minorHAnsi" w:cstheme="minorHAnsi"/>
          <w:color w:val="000000"/>
          <w:kern w:val="4"/>
          <w:sz w:val="18"/>
          <w:szCs w:val="18"/>
        </w:rPr>
        <w:t xml:space="preserve">(přípravky </w:t>
      </w:r>
      <w:proofErr w:type="spellStart"/>
      <w:r w:rsidRPr="008C7A17">
        <w:rPr>
          <w:rFonts w:asciiTheme="minorHAnsi" w:hAnsiTheme="minorHAnsi" w:cstheme="minorHAnsi"/>
          <w:color w:val="000000"/>
          <w:kern w:val="4"/>
          <w:sz w:val="18"/>
          <w:szCs w:val="18"/>
        </w:rPr>
        <w:t>Aulin</w:t>
      </w:r>
      <w:proofErr w:type="spellEnd"/>
      <w:r w:rsidRPr="008C7A17">
        <w:rPr>
          <w:rFonts w:asciiTheme="minorHAnsi" w:hAnsiTheme="minorHAnsi" w:cstheme="minorHAnsi"/>
          <w:color w:val="000000"/>
          <w:kern w:val="4"/>
          <w:sz w:val="18"/>
          <w:szCs w:val="18"/>
        </w:rPr>
        <w:t xml:space="preserve">, </w:t>
      </w:r>
      <w:proofErr w:type="spellStart"/>
      <w:r w:rsidRPr="008C7A17">
        <w:rPr>
          <w:rFonts w:asciiTheme="minorHAnsi" w:hAnsiTheme="minorHAnsi" w:cstheme="minorHAnsi"/>
          <w:color w:val="000000"/>
          <w:kern w:val="4"/>
          <w:sz w:val="18"/>
          <w:szCs w:val="18"/>
        </w:rPr>
        <w:t>Nimesil</w:t>
      </w:r>
      <w:proofErr w:type="spellEnd"/>
      <w:r w:rsidRPr="008C7A17">
        <w:rPr>
          <w:rFonts w:asciiTheme="minorHAnsi" w:hAnsiTheme="minorHAnsi" w:cstheme="minorHAnsi"/>
          <w:color w:val="000000"/>
          <w:kern w:val="4"/>
          <w:sz w:val="18"/>
          <w:szCs w:val="18"/>
        </w:rPr>
        <w:t xml:space="preserve"> a další), a s jinými léky, o kterých je známo, že ovlivňují </w:t>
      </w:r>
      <w:hyperlink r:id="rId7" w:history="1">
        <w:r w:rsidRPr="008C7A17">
          <w:rPr>
            <w:rFonts w:asciiTheme="minorHAnsi" w:hAnsiTheme="minorHAnsi" w:cstheme="minorHAnsi"/>
            <w:color w:val="000000"/>
            <w:kern w:val="4"/>
            <w:sz w:val="18"/>
            <w:szCs w:val="18"/>
            <w:shd w:val="clear" w:color="auto" w:fill="FFFFFF"/>
          </w:rPr>
          <w:t>játra</w:t>
        </w:r>
      </w:hyperlink>
      <w:r w:rsidRPr="008C7A17">
        <w:rPr>
          <w:rFonts w:asciiTheme="minorHAnsi" w:hAnsiTheme="minorHAnsi" w:cstheme="minorHAnsi"/>
          <w:color w:val="000000"/>
          <w:kern w:val="4"/>
          <w:sz w:val="18"/>
          <w:szCs w:val="18"/>
        </w:rPr>
        <w:t>, nebo pokud je přítomno jiné vážné onemocnění jater</w:t>
      </w:r>
      <w:r w:rsidRPr="008C7A17">
        <w:rPr>
          <w:rFonts w:asciiTheme="minorHAnsi" w:hAnsiTheme="minorHAnsi" w:cstheme="minorHAnsi"/>
          <w:color w:val="000000"/>
          <w:kern w:val="4"/>
          <w:sz w:val="18"/>
          <w:szCs w:val="18"/>
          <w:shd w:val="clear" w:color="auto" w:fill="FFFFFF"/>
        </w:rPr>
        <w:t xml:space="preserve"> </w:t>
      </w:r>
      <w:r w:rsidRPr="008C7A17">
        <w:rPr>
          <w:rFonts w:asciiTheme="minorHAnsi" w:hAnsiTheme="minorHAnsi" w:cstheme="minorHAnsi"/>
          <w:color w:val="000000"/>
          <w:kern w:val="4"/>
          <w:sz w:val="18"/>
          <w:szCs w:val="18"/>
        </w:rPr>
        <w:t>nebo akutní zánět jater. Dále pak nesmí být užíván při hemolytické anémii</w:t>
      </w:r>
      <w:r w:rsidRPr="008C7A17">
        <w:rPr>
          <w:rFonts w:asciiTheme="minorHAnsi" w:hAnsiTheme="minorHAnsi" w:cstheme="minorHAnsi"/>
          <w:color w:val="000000"/>
          <w:kern w:val="4"/>
          <w:sz w:val="18"/>
          <w:szCs w:val="18"/>
          <w:shd w:val="clear" w:color="auto" w:fill="FFFFFF"/>
        </w:rPr>
        <w:t>.</w:t>
      </w:r>
    </w:p>
    <w:p w14:paraId="03922243" w14:textId="77777777" w:rsidR="008C7A17" w:rsidRDefault="008C7A17" w:rsidP="00EB19B5">
      <w:pPr>
        <w:rPr>
          <w:noProof/>
          <w:lang w:eastAsia="cs-CZ"/>
        </w:rPr>
      </w:pPr>
    </w:p>
    <w:p w14:paraId="5F765410" w14:textId="10C8B3F0" w:rsidR="008C7A17" w:rsidRDefault="008C7A17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3E8B41C0" wp14:editId="6AE48ACC">
            <wp:simplePos x="0" y="0"/>
            <wp:positionH relativeFrom="margin">
              <wp:posOffset>388537</wp:posOffset>
            </wp:positionH>
            <wp:positionV relativeFrom="paragraph">
              <wp:posOffset>604713</wp:posOffset>
            </wp:positionV>
            <wp:extent cx="4953635" cy="4279900"/>
            <wp:effectExtent l="0" t="0" r="0" b="6350"/>
            <wp:wrapTight wrapText="bothSides">
              <wp:wrapPolygon edited="0">
                <wp:start x="0" y="0"/>
                <wp:lineTo x="0" y="21536"/>
                <wp:lineTo x="21514" y="21536"/>
                <wp:lineTo x="2151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br w:type="page"/>
      </w:r>
    </w:p>
    <w:p w14:paraId="1BF2E96A" w14:textId="5644354A" w:rsidR="008C7A17" w:rsidRDefault="008C7A17" w:rsidP="008C7A17">
      <w:pPr>
        <w:pStyle w:val="Standard"/>
        <w:spacing w:line="360" w:lineRule="auto"/>
        <w:jc w:val="center"/>
        <w:rPr>
          <w:rFonts w:ascii="Calibri" w:hAnsi="Calibri"/>
          <w:b/>
          <w:bCs/>
          <w:color w:val="000000"/>
          <w:sz w:val="20"/>
          <w:shd w:val="clear" w:color="auto" w:fill="FFFFFF"/>
        </w:rPr>
      </w:pPr>
      <w:r w:rsidRPr="008C7A17">
        <w:rPr>
          <w:rFonts w:cs="Times New Roman"/>
          <w:noProof/>
          <w:lang w:eastAsia="cs-CZ"/>
        </w:rPr>
        <w:lastRenderedPageBreak/>
        <w:drawing>
          <wp:anchor distT="0" distB="0" distL="114300" distR="114300" simplePos="0" relativeHeight="251666432" behindDoc="1" locked="0" layoutInCell="1" allowOverlap="1" wp14:anchorId="0EC5D492" wp14:editId="48AED4BF">
            <wp:simplePos x="0" y="0"/>
            <wp:positionH relativeFrom="margin">
              <wp:align>center</wp:align>
            </wp:positionH>
            <wp:positionV relativeFrom="paragraph">
              <wp:posOffset>-330835</wp:posOffset>
            </wp:positionV>
            <wp:extent cx="4886325" cy="4282440"/>
            <wp:effectExtent l="0" t="0" r="9525" b="381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C7A17">
        <w:rPr>
          <w:rFonts w:cs="Times New Roman"/>
          <w:b/>
          <w:bCs/>
          <w:color w:val="000000"/>
          <w:shd w:val="clear" w:color="auto" w:fill="FFFFFF"/>
        </w:rPr>
        <w:t>Apaurin</w:t>
      </w:r>
      <w:proofErr w:type="spellEnd"/>
    </w:p>
    <w:p w14:paraId="11BD3C71" w14:textId="77777777" w:rsidR="008C7A17" w:rsidRPr="008C7A17" w:rsidRDefault="008C7A17" w:rsidP="008C7A17">
      <w:pPr>
        <w:pStyle w:val="Standard"/>
        <w:spacing w:line="360" w:lineRule="auto"/>
        <w:jc w:val="center"/>
        <w:rPr>
          <w:rFonts w:ascii="Calibri" w:hAnsi="Calibri"/>
          <w:sz w:val="20"/>
        </w:rPr>
      </w:pPr>
    </w:p>
    <w:p w14:paraId="50F13A62" w14:textId="07AFB867" w:rsidR="008C7A17" w:rsidRPr="00FC4C8F" w:rsidRDefault="008C7A17" w:rsidP="00C8172B">
      <w:pPr>
        <w:pStyle w:val="Standard"/>
        <w:numPr>
          <w:ilvl w:val="0"/>
          <w:numId w:val="6"/>
        </w:numPr>
        <w:spacing w:line="360" w:lineRule="auto"/>
        <w:ind w:left="1276" w:right="1134" w:hanging="283"/>
        <w:textAlignment w:val="baseline"/>
        <w:rPr>
          <w:rFonts w:ascii="Calibri" w:hAnsi="Calibri"/>
          <w:sz w:val="18"/>
          <w:szCs w:val="18"/>
        </w:rPr>
      </w:pPr>
      <w:r w:rsidRPr="00FC4C8F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je injekční roztok s antikonvulzivním a </w:t>
      </w:r>
      <w:proofErr w:type="spellStart"/>
      <w:r w:rsidRPr="00FC4C8F">
        <w:rPr>
          <w:rFonts w:ascii="Calibri" w:hAnsi="Calibri"/>
          <w:color w:val="000000"/>
          <w:sz w:val="18"/>
          <w:szCs w:val="18"/>
          <w:shd w:val="clear" w:color="auto" w:fill="FFFFFF"/>
        </w:rPr>
        <w:t>myorelaxačním</w:t>
      </w:r>
      <w:proofErr w:type="spellEnd"/>
      <w:r w:rsidRPr="00FC4C8F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účinkem, patří mezi anxiolytika a obsahuje diazepam</w:t>
      </w:r>
    </w:p>
    <w:p w14:paraId="5159A841" w14:textId="1BEE6241" w:rsidR="008C7A17" w:rsidRPr="00FC4C8F" w:rsidRDefault="008C7A17" w:rsidP="00C8172B">
      <w:pPr>
        <w:pStyle w:val="Standard"/>
        <w:numPr>
          <w:ilvl w:val="0"/>
          <w:numId w:val="6"/>
        </w:numPr>
        <w:spacing w:line="360" w:lineRule="auto"/>
        <w:ind w:left="1276" w:right="1134" w:hanging="283"/>
        <w:textAlignment w:val="baseline"/>
        <w:rPr>
          <w:rFonts w:ascii="Calibri" w:hAnsi="Calibri"/>
          <w:sz w:val="18"/>
          <w:szCs w:val="18"/>
        </w:rPr>
      </w:pPr>
      <w:r w:rsidRPr="00FC4C8F">
        <w:rPr>
          <w:rFonts w:ascii="Calibri" w:hAnsi="Calibri"/>
          <w:b/>
          <w:bCs/>
          <w:color w:val="000000"/>
          <w:sz w:val="18"/>
          <w:szCs w:val="18"/>
          <w:shd w:val="clear" w:color="auto" w:fill="FFFFFF"/>
        </w:rPr>
        <w:t>podání:</w:t>
      </w:r>
      <w:r w:rsidRPr="00FC4C8F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Přípravek by měl být vstřikován hluboko do svalu nebo velmi pomalu a opatrně s použitím velké žíly po dobu jedné minuty na každých podávaných 5mg</w:t>
      </w:r>
    </w:p>
    <w:p w14:paraId="7798999B" w14:textId="45B315E6" w:rsidR="008C7A17" w:rsidRPr="00FC4C8F" w:rsidRDefault="008C7A17" w:rsidP="00C8172B">
      <w:pPr>
        <w:pStyle w:val="Standard"/>
        <w:numPr>
          <w:ilvl w:val="0"/>
          <w:numId w:val="6"/>
        </w:numPr>
        <w:spacing w:line="360" w:lineRule="auto"/>
        <w:ind w:left="1276" w:right="1134" w:hanging="283"/>
        <w:textAlignment w:val="baseline"/>
        <w:rPr>
          <w:rFonts w:ascii="Calibri" w:hAnsi="Calibri"/>
          <w:sz w:val="18"/>
          <w:szCs w:val="18"/>
        </w:rPr>
      </w:pPr>
      <w:r w:rsidRPr="00FC4C8F">
        <w:rPr>
          <w:rFonts w:ascii="Calibri" w:hAnsi="Calibri"/>
          <w:b/>
          <w:bCs/>
          <w:color w:val="000000"/>
          <w:sz w:val="18"/>
          <w:szCs w:val="18"/>
          <w:shd w:val="clear" w:color="auto" w:fill="FFFFFF"/>
        </w:rPr>
        <w:t>terapeutická indikace</w:t>
      </w:r>
      <w:r w:rsidRPr="00FC4C8F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: akutní stavy úzkosti, vzrušení, abstinenční syndrom (delirium tremens), status </w:t>
      </w:r>
      <w:proofErr w:type="spellStart"/>
      <w:r w:rsidRPr="00FC4C8F">
        <w:rPr>
          <w:rFonts w:ascii="Calibri" w:hAnsi="Calibri"/>
          <w:color w:val="000000"/>
          <w:sz w:val="18"/>
          <w:szCs w:val="18"/>
          <w:shd w:val="clear" w:color="auto" w:fill="FFFFFF"/>
        </w:rPr>
        <w:t>epilepticus</w:t>
      </w:r>
      <w:proofErr w:type="spellEnd"/>
      <w:r w:rsidRPr="00FC4C8F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, tetanus, akutní centrální a periferní svalové křeče. </w:t>
      </w:r>
      <w:r w:rsidRPr="00FC4C8F">
        <w:rPr>
          <w:rFonts w:ascii="Calibri" w:hAnsi="Calibri"/>
          <w:b/>
          <w:bCs/>
          <w:color w:val="000000"/>
          <w:sz w:val="18"/>
          <w:szCs w:val="18"/>
          <w:shd w:val="clear" w:color="auto" w:fill="FFFFFF"/>
        </w:rPr>
        <w:t>Porodnictví</w:t>
      </w:r>
      <w:r w:rsidRPr="00FC4C8F">
        <w:rPr>
          <w:rFonts w:ascii="Calibri" w:hAnsi="Calibri"/>
          <w:color w:val="000000"/>
          <w:sz w:val="18"/>
          <w:szCs w:val="18"/>
          <w:shd w:val="clear" w:color="auto" w:fill="FFFFFF"/>
        </w:rPr>
        <w:t>: pro usnadnění zahájení porodu</w:t>
      </w:r>
      <w:r w:rsidR="00FC4C8F">
        <w:rPr>
          <w:rFonts w:ascii="Calibri" w:hAnsi="Calibri"/>
          <w:color w:val="000000"/>
          <w:sz w:val="18"/>
          <w:szCs w:val="18"/>
          <w:shd w:val="clear" w:color="auto" w:fill="FFFFFF"/>
        </w:rPr>
        <w:t>.</w:t>
      </w:r>
    </w:p>
    <w:p w14:paraId="3449C0E7" w14:textId="286157B0" w:rsidR="008C7A17" w:rsidRPr="00FC4C8F" w:rsidRDefault="008C7A17" w:rsidP="00C8172B">
      <w:pPr>
        <w:pStyle w:val="Standard"/>
        <w:numPr>
          <w:ilvl w:val="0"/>
          <w:numId w:val="6"/>
        </w:numPr>
        <w:spacing w:line="360" w:lineRule="auto"/>
        <w:ind w:left="1276" w:right="1134" w:hanging="283"/>
        <w:textAlignment w:val="baseline"/>
        <w:rPr>
          <w:rFonts w:ascii="Calibri" w:hAnsi="Calibri"/>
          <w:sz w:val="18"/>
          <w:szCs w:val="18"/>
        </w:rPr>
      </w:pPr>
      <w:r w:rsidRPr="00FC4C8F">
        <w:rPr>
          <w:rFonts w:ascii="Calibri" w:hAnsi="Calibri"/>
          <w:b/>
          <w:bCs/>
          <w:color w:val="000000"/>
          <w:sz w:val="18"/>
          <w:szCs w:val="18"/>
          <w:shd w:val="clear" w:color="auto" w:fill="FFFFFF"/>
        </w:rPr>
        <w:t xml:space="preserve">kontraindikace: </w:t>
      </w:r>
      <w:r w:rsidRPr="00FC4C8F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Hypersenzitivita na léčivou látku nebo na kteroukoli pomocnou látku. </w:t>
      </w:r>
      <w:r w:rsidRPr="00FC4C8F">
        <w:rPr>
          <w:rFonts w:ascii="Calibri" w:hAnsi="Calibri"/>
          <w:color w:val="000000"/>
          <w:sz w:val="18"/>
          <w:szCs w:val="18"/>
        </w:rPr>
        <w:t xml:space="preserve">Akutní glaukom, závažná respirační insuficience (diazepam může uspíšit respirační selhání), akutní intoxikace alkoholem nebo jinými látkami tlumící CNS, kóma, syndrom spánkové apnoe, těžká jaterní insuficience. </w:t>
      </w:r>
    </w:p>
    <w:p w14:paraId="3F3012C9" w14:textId="2DF84E45" w:rsidR="008C7A17" w:rsidRPr="00FC4C8F" w:rsidRDefault="008C7A17" w:rsidP="001A0E5F">
      <w:pPr>
        <w:pStyle w:val="Standard"/>
        <w:numPr>
          <w:ilvl w:val="0"/>
          <w:numId w:val="6"/>
        </w:numPr>
        <w:spacing w:line="360" w:lineRule="auto"/>
        <w:ind w:left="1276" w:right="1134" w:hanging="283"/>
        <w:textAlignment w:val="baseline"/>
        <w:rPr>
          <w:b/>
          <w:bCs/>
          <w:sz w:val="32"/>
          <w:szCs w:val="32"/>
        </w:rPr>
      </w:pPr>
      <w:r w:rsidRPr="00FC4C8F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osoby léčené tímto léčivem </w:t>
      </w:r>
      <w:r w:rsidRPr="00FC4C8F">
        <w:rPr>
          <w:rFonts w:ascii="Calibri" w:hAnsi="Calibri"/>
          <w:b/>
          <w:bCs/>
          <w:color w:val="000000"/>
          <w:sz w:val="18"/>
          <w:szCs w:val="18"/>
          <w:shd w:val="clear" w:color="auto" w:fill="FFFFFF"/>
        </w:rPr>
        <w:t>nesmí</w:t>
      </w:r>
      <w:r w:rsidRPr="00FC4C8F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řídit motorová vozidla nebo obsluhovat strojní zařízení a vykonávat činnosti vyžadující zvýšenou pozornost</w:t>
      </w:r>
      <w:r w:rsidR="00C8172B" w:rsidRPr="00FC4C8F">
        <w:rPr>
          <w:rFonts w:ascii="Calibri" w:hAnsi="Calibri"/>
          <w:sz w:val="18"/>
          <w:szCs w:val="18"/>
        </w:rPr>
        <w:t xml:space="preserve">. </w:t>
      </w:r>
    </w:p>
    <w:p w14:paraId="6279C567" w14:textId="6CBF61E6" w:rsidR="008C7A17" w:rsidRDefault="00364FF7">
      <w:pPr>
        <w:rPr>
          <w:b/>
          <w:bCs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70528" behindDoc="1" locked="0" layoutInCell="1" allowOverlap="1" wp14:anchorId="0CB7F062" wp14:editId="1C093AE4">
            <wp:simplePos x="0" y="0"/>
            <wp:positionH relativeFrom="margin">
              <wp:align>center</wp:align>
            </wp:positionH>
            <wp:positionV relativeFrom="paragraph">
              <wp:posOffset>634365</wp:posOffset>
            </wp:positionV>
            <wp:extent cx="4953635" cy="4279900"/>
            <wp:effectExtent l="0" t="0" r="0" b="6350"/>
            <wp:wrapTight wrapText="bothSides">
              <wp:wrapPolygon edited="0">
                <wp:start x="0" y="0"/>
                <wp:lineTo x="0" y="21536"/>
                <wp:lineTo x="21514" y="21536"/>
                <wp:lineTo x="21514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A17">
        <w:rPr>
          <w:b/>
          <w:bCs/>
          <w:sz w:val="32"/>
          <w:szCs w:val="32"/>
        </w:rPr>
        <w:br w:type="page"/>
      </w:r>
    </w:p>
    <w:p w14:paraId="4CEBCC34" w14:textId="452CC0D9" w:rsidR="00C8172B" w:rsidRDefault="00C8172B" w:rsidP="00C8172B">
      <w:pPr>
        <w:pStyle w:val="Standard"/>
        <w:jc w:val="center"/>
        <w:rPr>
          <w:b/>
          <w:bCs/>
          <w:color w:val="000000"/>
          <w:shd w:val="clear" w:color="auto" w:fill="FFFFFF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72576" behindDoc="1" locked="0" layoutInCell="1" allowOverlap="1" wp14:anchorId="20E7BFBA" wp14:editId="3659BF9D">
            <wp:simplePos x="0" y="0"/>
            <wp:positionH relativeFrom="margin">
              <wp:posOffset>355738</wp:posOffset>
            </wp:positionH>
            <wp:positionV relativeFrom="paragraph">
              <wp:posOffset>-394169</wp:posOffset>
            </wp:positionV>
            <wp:extent cx="4886325" cy="4282440"/>
            <wp:effectExtent l="0" t="0" r="1905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  <w:bCs/>
          <w:color w:val="000000"/>
          <w:shd w:val="clear" w:color="auto" w:fill="FFFFFF"/>
        </w:rPr>
        <w:t>Gelaspan</w:t>
      </w:r>
      <w:proofErr w:type="spellEnd"/>
    </w:p>
    <w:p w14:paraId="45B9E2CF" w14:textId="77777777" w:rsidR="00C8172B" w:rsidRDefault="00C8172B" w:rsidP="00C8172B">
      <w:pPr>
        <w:pStyle w:val="Standard"/>
        <w:jc w:val="center"/>
      </w:pPr>
    </w:p>
    <w:p w14:paraId="0D05B319" w14:textId="292510A3" w:rsidR="00C8172B" w:rsidRPr="00C8172B" w:rsidRDefault="00C8172B" w:rsidP="00364FF7">
      <w:pPr>
        <w:pStyle w:val="Standard"/>
        <w:numPr>
          <w:ilvl w:val="0"/>
          <w:numId w:val="10"/>
        </w:numPr>
        <w:tabs>
          <w:tab w:val="left" w:pos="765"/>
        </w:tabs>
        <w:spacing w:line="360" w:lineRule="auto"/>
        <w:ind w:left="1276" w:right="1134" w:hanging="283"/>
        <w:textAlignment w:val="baseline"/>
        <w:rPr>
          <w:rFonts w:asciiTheme="minorHAnsi" w:hAnsiTheme="minorHAnsi" w:cstheme="minorHAnsi"/>
          <w:sz w:val="18"/>
          <w:szCs w:val="18"/>
        </w:rPr>
      </w:pPr>
      <w:r w:rsidRPr="00C8172B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je </w:t>
      </w:r>
      <w:proofErr w:type="spellStart"/>
      <w:r w:rsidRPr="00C8172B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infůzní</w:t>
      </w:r>
      <w:proofErr w:type="spellEnd"/>
      <w:r w:rsidRPr="00C8172B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roztok podáván in</w:t>
      </w:r>
      <w:r w:rsidR="00FC4C8F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t</w:t>
      </w:r>
      <w:r w:rsidRPr="00C8172B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ravenózně</w:t>
      </w:r>
    </w:p>
    <w:p w14:paraId="2EB46F25" w14:textId="233C253E" w:rsidR="00C8172B" w:rsidRPr="00C8172B" w:rsidRDefault="00C8172B" w:rsidP="00364FF7">
      <w:pPr>
        <w:pStyle w:val="Standard"/>
        <w:numPr>
          <w:ilvl w:val="0"/>
          <w:numId w:val="10"/>
        </w:numPr>
        <w:tabs>
          <w:tab w:val="left" w:pos="765"/>
        </w:tabs>
        <w:spacing w:line="360" w:lineRule="auto"/>
        <w:ind w:left="1276" w:right="1134" w:hanging="283"/>
        <w:textAlignment w:val="baseline"/>
        <w:rPr>
          <w:rFonts w:asciiTheme="minorHAnsi" w:hAnsiTheme="minorHAnsi" w:cstheme="minorHAnsi"/>
          <w:sz w:val="18"/>
          <w:szCs w:val="18"/>
        </w:rPr>
      </w:pPr>
      <w:r w:rsidRPr="00C8172B">
        <w:rPr>
          <w:rFonts w:asciiTheme="minorHAnsi" w:hAnsiTheme="minorHAnsi" w:cstheme="minorHAnsi"/>
          <w:b/>
          <w:bCs/>
          <w:color w:val="000000"/>
          <w:sz w:val="18"/>
          <w:szCs w:val="18"/>
          <w:shd w:val="clear" w:color="auto" w:fill="FFFFFF"/>
        </w:rPr>
        <w:t xml:space="preserve">terapeutická indikace: </w:t>
      </w:r>
      <w:proofErr w:type="spellStart"/>
      <w:r w:rsidRPr="00C8172B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Gelaspan</w:t>
      </w:r>
      <w:proofErr w:type="spellEnd"/>
      <w:r w:rsidRPr="00C8172B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je koloidální náhražka </w:t>
      </w:r>
      <w:proofErr w:type="gramStart"/>
      <w:r w:rsidRPr="00C8172B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plasmatického</w:t>
      </w:r>
      <w:proofErr w:type="gramEnd"/>
      <w:r w:rsidRPr="00C8172B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objemu v </w:t>
      </w:r>
      <w:r w:rsidRPr="00C8172B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ab/>
        <w:t>isotonickém, plně vyváženém roztoku elektrolytů sloužící k</w:t>
      </w:r>
      <w:bookmarkStart w:id="0" w:name="dupl3"/>
      <w:bookmarkEnd w:id="0"/>
      <w:r w:rsidRPr="00C8172B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</w:t>
      </w:r>
      <w:r w:rsidRPr="00C8172B">
        <w:rPr>
          <w:rFonts w:asciiTheme="minorHAnsi" w:hAnsiTheme="minorHAnsi" w:cstheme="minorHAnsi"/>
          <w:color w:val="000000"/>
          <w:sz w:val="18"/>
          <w:szCs w:val="18"/>
        </w:rPr>
        <w:t>profylaxi a léčbě hrozící či již manifestní relativní nebo absolutní hypovolemie a šoku.</w:t>
      </w:r>
    </w:p>
    <w:p w14:paraId="5B18A699" w14:textId="4CEFFF4B" w:rsidR="00C8172B" w:rsidRPr="00C8172B" w:rsidRDefault="00C8172B" w:rsidP="00364FF7">
      <w:pPr>
        <w:pStyle w:val="Standard"/>
        <w:numPr>
          <w:ilvl w:val="0"/>
          <w:numId w:val="10"/>
        </w:numPr>
        <w:tabs>
          <w:tab w:val="left" w:pos="765"/>
        </w:tabs>
        <w:spacing w:line="360" w:lineRule="auto"/>
        <w:ind w:left="1276" w:right="1134" w:hanging="283"/>
        <w:textAlignment w:val="baseline"/>
        <w:rPr>
          <w:rFonts w:asciiTheme="minorHAnsi" w:hAnsiTheme="minorHAnsi" w:cstheme="minorHAnsi"/>
          <w:sz w:val="18"/>
          <w:szCs w:val="18"/>
        </w:rPr>
      </w:pPr>
      <w:r w:rsidRPr="00C8172B">
        <w:rPr>
          <w:rFonts w:asciiTheme="minorHAnsi" w:hAnsiTheme="minorHAnsi" w:cstheme="minorHAnsi"/>
          <w:b/>
          <w:bCs/>
          <w:color w:val="000000"/>
          <w:sz w:val="18"/>
          <w:szCs w:val="18"/>
        </w:rPr>
        <w:t>Dávkování</w:t>
      </w:r>
      <w:r w:rsidRPr="00C8172B">
        <w:rPr>
          <w:rFonts w:asciiTheme="minorHAnsi" w:hAnsiTheme="minorHAnsi" w:cstheme="minorHAnsi"/>
          <w:color w:val="000000"/>
          <w:sz w:val="18"/>
          <w:szCs w:val="18"/>
        </w:rPr>
        <w:t xml:space="preserve">: Dávka a rychlost infuze je upravována podle velikosti krevní ztráty a podle individuálních potřeb k </w:t>
      </w:r>
      <w:proofErr w:type="gramStart"/>
      <w:r w:rsidRPr="00C8172B">
        <w:rPr>
          <w:rFonts w:asciiTheme="minorHAnsi" w:hAnsiTheme="minorHAnsi" w:cstheme="minorHAnsi"/>
          <w:color w:val="000000"/>
          <w:sz w:val="18"/>
          <w:szCs w:val="18"/>
        </w:rPr>
        <w:t>obnově</w:t>
      </w:r>
      <w:proofErr w:type="gramEnd"/>
      <w:r w:rsidRPr="00C8172B">
        <w:rPr>
          <w:rFonts w:asciiTheme="minorHAnsi" w:hAnsiTheme="minorHAnsi" w:cstheme="minorHAnsi"/>
          <w:color w:val="000000"/>
          <w:sz w:val="18"/>
          <w:szCs w:val="18"/>
        </w:rPr>
        <w:t xml:space="preserve"> resp. k udržení stabilního </w:t>
      </w:r>
      <w:proofErr w:type="spellStart"/>
      <w:r w:rsidRPr="00C8172B">
        <w:rPr>
          <w:rFonts w:asciiTheme="minorHAnsi" w:hAnsiTheme="minorHAnsi" w:cstheme="minorHAnsi"/>
          <w:color w:val="000000"/>
          <w:sz w:val="18"/>
          <w:szCs w:val="18"/>
        </w:rPr>
        <w:t>hemodynamického</w:t>
      </w:r>
      <w:proofErr w:type="spellEnd"/>
      <w:r w:rsidRPr="00C8172B">
        <w:rPr>
          <w:rFonts w:asciiTheme="minorHAnsi" w:hAnsiTheme="minorHAnsi" w:cstheme="minorHAnsi"/>
          <w:color w:val="000000"/>
          <w:sz w:val="18"/>
          <w:szCs w:val="18"/>
        </w:rPr>
        <w:t xml:space="preserve"> stavu. Podávané počáteční dávky se pohybují obecně od 500 do 1000 ml</w:t>
      </w:r>
      <w:r w:rsidR="00FC4C8F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5BBC1259" w14:textId="62938314" w:rsidR="00C8172B" w:rsidRPr="00364FF7" w:rsidRDefault="00C8172B" w:rsidP="00364FF7">
      <w:pPr>
        <w:pStyle w:val="Standard"/>
        <w:numPr>
          <w:ilvl w:val="0"/>
          <w:numId w:val="10"/>
        </w:numPr>
        <w:tabs>
          <w:tab w:val="left" w:pos="765"/>
        </w:tabs>
        <w:spacing w:line="360" w:lineRule="auto"/>
        <w:ind w:left="1276" w:right="1134" w:hanging="283"/>
        <w:textAlignment w:val="baseline"/>
        <w:rPr>
          <w:rFonts w:asciiTheme="minorHAnsi" w:hAnsiTheme="minorHAnsi" w:cstheme="minorHAnsi"/>
          <w:sz w:val="18"/>
          <w:szCs w:val="18"/>
        </w:rPr>
      </w:pPr>
      <w:r w:rsidRPr="00C8172B">
        <w:rPr>
          <w:rFonts w:asciiTheme="minorHAnsi" w:hAnsiTheme="minorHAnsi" w:cstheme="minorHAnsi"/>
          <w:b/>
          <w:bCs/>
          <w:color w:val="000000"/>
          <w:sz w:val="18"/>
          <w:szCs w:val="18"/>
        </w:rPr>
        <w:t>Kontraindikace</w:t>
      </w:r>
      <w:r w:rsidRPr="00C8172B">
        <w:rPr>
          <w:rFonts w:asciiTheme="minorHAnsi" w:hAnsiTheme="minorHAnsi" w:cstheme="minorHAnsi"/>
          <w:color w:val="000000"/>
          <w:sz w:val="18"/>
          <w:szCs w:val="18"/>
        </w:rPr>
        <w:t xml:space="preserve">: </w:t>
      </w:r>
      <w:bookmarkStart w:id="1" w:name="dupl4"/>
      <w:bookmarkEnd w:id="1"/>
      <w:r w:rsidRPr="00C8172B">
        <w:rPr>
          <w:rFonts w:asciiTheme="minorHAnsi" w:hAnsiTheme="minorHAnsi" w:cstheme="minorHAnsi"/>
          <w:color w:val="000000"/>
          <w:sz w:val="18"/>
          <w:szCs w:val="18"/>
        </w:rPr>
        <w:t>hypersenzitivita na roztoky obsahující želatinu</w:t>
      </w:r>
      <w:r w:rsidR="00FC4C8F">
        <w:rPr>
          <w:rFonts w:asciiTheme="minorHAnsi" w:hAnsiTheme="minorHAnsi" w:cstheme="minorHAnsi"/>
          <w:color w:val="000000"/>
          <w:sz w:val="18"/>
          <w:szCs w:val="18"/>
        </w:rPr>
        <w:t xml:space="preserve">, </w:t>
      </w:r>
      <w:r w:rsidRPr="00C8172B">
        <w:rPr>
          <w:rFonts w:asciiTheme="minorHAnsi" w:hAnsiTheme="minorHAnsi" w:cstheme="minorHAnsi"/>
          <w:color w:val="000000"/>
          <w:sz w:val="18"/>
          <w:szCs w:val="18"/>
        </w:rPr>
        <w:t>hypersenzitivita na galaktózo-α-</w:t>
      </w:r>
      <w:proofErr w:type="gramStart"/>
      <w:r w:rsidRPr="00C8172B">
        <w:rPr>
          <w:rFonts w:asciiTheme="minorHAnsi" w:hAnsiTheme="minorHAnsi" w:cstheme="minorHAnsi"/>
          <w:color w:val="000000"/>
          <w:sz w:val="18"/>
          <w:szCs w:val="18"/>
        </w:rPr>
        <w:t>1,3-galaktózu</w:t>
      </w:r>
      <w:proofErr w:type="gramEnd"/>
      <w:r w:rsidRPr="00C8172B">
        <w:rPr>
          <w:rFonts w:asciiTheme="minorHAnsi" w:hAnsiTheme="minorHAnsi" w:cstheme="minorHAnsi"/>
          <w:color w:val="000000"/>
          <w:sz w:val="18"/>
          <w:szCs w:val="18"/>
        </w:rPr>
        <w:t xml:space="preserve"> (alfa-</w:t>
      </w:r>
      <w:proofErr w:type="spellStart"/>
      <w:r w:rsidRPr="00C8172B">
        <w:rPr>
          <w:rFonts w:asciiTheme="minorHAnsi" w:hAnsiTheme="minorHAnsi" w:cstheme="minorHAnsi"/>
          <w:color w:val="000000"/>
          <w:sz w:val="18"/>
          <w:szCs w:val="18"/>
        </w:rPr>
        <w:t>gal</w:t>
      </w:r>
      <w:proofErr w:type="spellEnd"/>
      <w:r w:rsidRPr="00C8172B">
        <w:rPr>
          <w:rFonts w:asciiTheme="minorHAnsi" w:hAnsiTheme="minorHAnsi" w:cstheme="minorHAnsi"/>
          <w:color w:val="000000"/>
          <w:sz w:val="18"/>
          <w:szCs w:val="18"/>
        </w:rPr>
        <w:t xml:space="preserve">) </w:t>
      </w:r>
      <w:r w:rsidRPr="00364FF7">
        <w:rPr>
          <w:rFonts w:asciiTheme="minorHAnsi" w:hAnsiTheme="minorHAnsi" w:cstheme="minorHAnsi"/>
          <w:color w:val="000000"/>
          <w:sz w:val="18"/>
          <w:szCs w:val="18"/>
        </w:rPr>
        <w:t xml:space="preserve">nebo známá alergie na červené maso (maso savců) a vnitřnosti, hypervolemie, </w:t>
      </w:r>
      <w:proofErr w:type="spellStart"/>
      <w:r w:rsidRPr="00364FF7">
        <w:rPr>
          <w:rFonts w:asciiTheme="minorHAnsi" w:hAnsiTheme="minorHAnsi" w:cstheme="minorHAnsi"/>
          <w:color w:val="000000"/>
          <w:sz w:val="18"/>
          <w:szCs w:val="18"/>
        </w:rPr>
        <w:t>hyperhydratace</w:t>
      </w:r>
      <w:proofErr w:type="spellEnd"/>
      <w:r w:rsidRPr="00364FF7">
        <w:rPr>
          <w:rFonts w:asciiTheme="minorHAnsi" w:hAnsiTheme="minorHAnsi" w:cstheme="minorHAnsi"/>
          <w:color w:val="000000"/>
          <w:sz w:val="18"/>
          <w:szCs w:val="18"/>
        </w:rPr>
        <w:t xml:space="preserve">, </w:t>
      </w:r>
      <w:proofErr w:type="spellStart"/>
      <w:r w:rsidRPr="00364FF7">
        <w:rPr>
          <w:rFonts w:asciiTheme="minorHAnsi" w:hAnsiTheme="minorHAnsi" w:cstheme="minorHAnsi"/>
          <w:color w:val="000000"/>
          <w:sz w:val="18"/>
          <w:szCs w:val="18"/>
        </w:rPr>
        <w:t>hyperkalemie</w:t>
      </w:r>
      <w:proofErr w:type="spellEnd"/>
    </w:p>
    <w:p w14:paraId="5918C735" w14:textId="3511034D" w:rsidR="00C8172B" w:rsidRPr="00C8172B" w:rsidRDefault="00C8172B" w:rsidP="00364FF7">
      <w:pPr>
        <w:pStyle w:val="Standard"/>
        <w:numPr>
          <w:ilvl w:val="0"/>
          <w:numId w:val="10"/>
        </w:numPr>
        <w:tabs>
          <w:tab w:val="left" w:pos="765"/>
        </w:tabs>
        <w:spacing w:line="360" w:lineRule="auto"/>
        <w:ind w:left="1276" w:right="1134" w:hanging="283"/>
        <w:textAlignment w:val="baseline"/>
        <w:rPr>
          <w:rFonts w:asciiTheme="minorHAnsi" w:hAnsiTheme="minorHAnsi" w:cstheme="minorHAnsi"/>
          <w:sz w:val="18"/>
          <w:szCs w:val="18"/>
        </w:rPr>
      </w:pPr>
      <w:r w:rsidRPr="00C8172B">
        <w:rPr>
          <w:rFonts w:asciiTheme="minorHAnsi" w:hAnsiTheme="minorHAnsi" w:cstheme="minorHAnsi"/>
          <w:b/>
          <w:bCs/>
          <w:color w:val="000000"/>
          <w:sz w:val="18"/>
          <w:szCs w:val="18"/>
        </w:rPr>
        <w:t>Opatrnost vyžadují pacienti</w:t>
      </w:r>
      <w:r w:rsidRPr="00C8172B">
        <w:rPr>
          <w:rFonts w:asciiTheme="minorHAnsi" w:hAnsiTheme="minorHAnsi" w:cstheme="minorHAnsi"/>
          <w:color w:val="000000"/>
          <w:sz w:val="18"/>
          <w:szCs w:val="18"/>
        </w:rPr>
        <w:t xml:space="preserve">, kteří užívají nebo jsou jim podávány léčivé přípravky, </w:t>
      </w:r>
      <w:r w:rsidRPr="00C8172B">
        <w:rPr>
          <w:rFonts w:asciiTheme="minorHAnsi" w:hAnsiTheme="minorHAnsi" w:cstheme="minorHAnsi"/>
          <w:color w:val="000000"/>
          <w:sz w:val="18"/>
          <w:szCs w:val="18"/>
        </w:rPr>
        <w:tab/>
        <w:t>způsobující retenci kalia (např. kalium šetřící diuretika, ACE inhibitory) nebo natria.</w:t>
      </w:r>
    </w:p>
    <w:p w14:paraId="6C6A7B14" w14:textId="77777777" w:rsidR="00C8172B" w:rsidRDefault="00C8172B" w:rsidP="00EB19B5">
      <w:pPr>
        <w:rPr>
          <w:b/>
          <w:bCs/>
          <w:sz w:val="32"/>
          <w:szCs w:val="32"/>
        </w:rPr>
      </w:pPr>
    </w:p>
    <w:p w14:paraId="4D666F0D" w14:textId="55F114D9" w:rsidR="00C8172B" w:rsidRDefault="00C8172B">
      <w:pPr>
        <w:rPr>
          <w:b/>
          <w:bCs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 wp14:anchorId="20487085" wp14:editId="7E3B4A80">
            <wp:simplePos x="0" y="0"/>
            <wp:positionH relativeFrom="margin">
              <wp:posOffset>291603</wp:posOffset>
            </wp:positionH>
            <wp:positionV relativeFrom="paragraph">
              <wp:posOffset>953494</wp:posOffset>
            </wp:positionV>
            <wp:extent cx="4953635" cy="4279900"/>
            <wp:effectExtent l="0" t="0" r="0" b="6350"/>
            <wp:wrapTight wrapText="bothSides">
              <wp:wrapPolygon edited="0">
                <wp:start x="0" y="0"/>
                <wp:lineTo x="0" y="21536"/>
                <wp:lineTo x="21514" y="21536"/>
                <wp:lineTo x="21514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br w:type="page"/>
      </w:r>
    </w:p>
    <w:p w14:paraId="672CAC4F" w14:textId="40CDC5F7" w:rsidR="00C8172B" w:rsidRDefault="00C8172B" w:rsidP="00C8172B">
      <w:pPr>
        <w:pStyle w:val="Standard"/>
        <w:tabs>
          <w:tab w:val="left" w:pos="406"/>
        </w:tabs>
        <w:jc w:val="center"/>
        <w:rPr>
          <w:b/>
          <w:bCs/>
          <w:color w:val="000000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76672" behindDoc="1" locked="0" layoutInCell="1" allowOverlap="1" wp14:anchorId="4115C1D7" wp14:editId="54E9E732">
            <wp:simplePos x="0" y="0"/>
            <wp:positionH relativeFrom="margin">
              <wp:align>center</wp:align>
            </wp:positionH>
            <wp:positionV relativeFrom="paragraph">
              <wp:posOffset>-464185</wp:posOffset>
            </wp:positionV>
            <wp:extent cx="4886325" cy="4282440"/>
            <wp:effectExtent l="0" t="0" r="9525" b="381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  <w:bCs/>
          <w:color w:val="000000"/>
        </w:rPr>
        <w:t>Solu-Medrol</w:t>
      </w:r>
      <w:proofErr w:type="spellEnd"/>
    </w:p>
    <w:p w14:paraId="6BC853DF" w14:textId="70FEC83B" w:rsidR="00C8172B" w:rsidRDefault="00C8172B" w:rsidP="00C8172B">
      <w:pPr>
        <w:pStyle w:val="Standard"/>
        <w:tabs>
          <w:tab w:val="left" w:pos="406"/>
        </w:tabs>
        <w:jc w:val="center"/>
        <w:rPr>
          <w:b/>
          <w:bCs/>
          <w:color w:val="000000"/>
        </w:rPr>
      </w:pPr>
    </w:p>
    <w:p w14:paraId="43FE6AE1" w14:textId="77777777" w:rsidR="00FC4C8F" w:rsidRPr="00FC4C8F" w:rsidRDefault="00FC4C8F" w:rsidP="00364FF7">
      <w:pPr>
        <w:pStyle w:val="Standard"/>
        <w:numPr>
          <w:ilvl w:val="0"/>
          <w:numId w:val="11"/>
        </w:numPr>
        <w:tabs>
          <w:tab w:val="left" w:pos="406"/>
        </w:tabs>
        <w:spacing w:line="360" w:lineRule="auto"/>
        <w:ind w:left="1276" w:right="992" w:hanging="283"/>
        <w:textAlignment w:val="baseline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C4C8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obsahuje </w:t>
      </w:r>
      <w:proofErr w:type="spellStart"/>
      <w:r w:rsidRPr="00FC4C8F">
        <w:rPr>
          <w:rFonts w:asciiTheme="minorHAnsi" w:hAnsiTheme="minorHAnsi" w:cstheme="minorHAnsi"/>
          <w:color w:val="000000" w:themeColor="text1"/>
          <w:sz w:val="18"/>
          <w:szCs w:val="18"/>
        </w:rPr>
        <w:t>methylprednisolon</w:t>
      </w:r>
      <w:proofErr w:type="spellEnd"/>
      <w:r w:rsidRPr="00FC4C8F">
        <w:rPr>
          <w:rFonts w:asciiTheme="minorHAnsi" w:hAnsiTheme="minorHAnsi" w:cstheme="minorHAnsi"/>
          <w:color w:val="000000" w:themeColor="text1"/>
          <w:sz w:val="18"/>
          <w:szCs w:val="18"/>
        </w:rPr>
        <w:t>. Má silný protizánětlivý a imunosupresivní (potlačující nežádoucí reakce imunitního systému) účinek</w:t>
      </w:r>
    </w:p>
    <w:p w14:paraId="0834F25A" w14:textId="2CFCE9DE" w:rsidR="00FC4C8F" w:rsidRPr="00FC4C8F" w:rsidRDefault="00C8172B" w:rsidP="00FE13E1">
      <w:pPr>
        <w:pStyle w:val="Standard"/>
        <w:numPr>
          <w:ilvl w:val="0"/>
          <w:numId w:val="12"/>
        </w:numPr>
        <w:tabs>
          <w:tab w:val="left" w:pos="406"/>
        </w:tabs>
        <w:spacing w:line="360" w:lineRule="auto"/>
        <w:ind w:left="1843" w:right="992" w:hanging="283"/>
        <w:textAlignment w:val="baseline"/>
        <w:rPr>
          <w:rFonts w:asciiTheme="minorHAnsi" w:hAnsiTheme="minorHAnsi" w:cstheme="minorHAnsi"/>
          <w:sz w:val="18"/>
          <w:szCs w:val="18"/>
        </w:rPr>
      </w:pPr>
      <w:r w:rsidRPr="00FC4C8F">
        <w:rPr>
          <w:rFonts w:asciiTheme="minorHAnsi" w:hAnsiTheme="minorHAnsi" w:cstheme="minorHAnsi"/>
          <w:b/>
          <w:bCs/>
          <w:color w:val="000000"/>
          <w:sz w:val="18"/>
          <w:szCs w:val="18"/>
        </w:rPr>
        <w:t>Terapeutická indikace:</w:t>
      </w:r>
      <w:r w:rsidRPr="00FC4C8F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FC4C8F">
        <w:rPr>
          <w:rFonts w:asciiTheme="minorHAnsi" w:hAnsiTheme="minorHAnsi" w:cstheme="minorHAnsi"/>
          <w:b/>
          <w:bCs/>
          <w:color w:val="000000"/>
          <w:sz w:val="18"/>
          <w:szCs w:val="18"/>
        </w:rPr>
        <w:t>endokrinní poruchy</w:t>
      </w:r>
      <w:r w:rsidR="00FC4C8F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</w:p>
    <w:p w14:paraId="799F5149" w14:textId="3E764D27" w:rsidR="00FC4C8F" w:rsidRPr="00FC4C8F" w:rsidRDefault="00C8172B" w:rsidP="00FE13E1">
      <w:pPr>
        <w:pStyle w:val="Standard"/>
        <w:numPr>
          <w:ilvl w:val="0"/>
          <w:numId w:val="12"/>
        </w:numPr>
        <w:tabs>
          <w:tab w:val="left" w:pos="406"/>
        </w:tabs>
        <w:spacing w:line="360" w:lineRule="auto"/>
        <w:ind w:left="1843" w:right="992" w:hanging="283"/>
        <w:textAlignment w:val="baseline"/>
        <w:rPr>
          <w:rFonts w:asciiTheme="minorHAnsi" w:hAnsiTheme="minorHAnsi" w:cstheme="minorHAnsi"/>
          <w:sz w:val="18"/>
          <w:szCs w:val="18"/>
        </w:rPr>
      </w:pPr>
      <w:r w:rsidRPr="00FC4C8F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FC4C8F">
        <w:rPr>
          <w:rFonts w:asciiTheme="minorHAnsi" w:hAnsiTheme="minorHAnsi" w:cstheme="minorHAnsi"/>
          <w:b/>
          <w:bCs/>
          <w:color w:val="000000"/>
          <w:sz w:val="18"/>
          <w:szCs w:val="18"/>
        </w:rPr>
        <w:t>onemocnění revmatického původu</w:t>
      </w:r>
    </w:p>
    <w:p w14:paraId="68A3B65D" w14:textId="35539198" w:rsidR="00FE13E1" w:rsidRPr="00FE13E1" w:rsidRDefault="00C8172B" w:rsidP="00FE13E1">
      <w:pPr>
        <w:pStyle w:val="Standard"/>
        <w:numPr>
          <w:ilvl w:val="0"/>
          <w:numId w:val="12"/>
        </w:numPr>
        <w:tabs>
          <w:tab w:val="left" w:pos="406"/>
        </w:tabs>
        <w:spacing w:line="360" w:lineRule="auto"/>
        <w:ind w:left="1843" w:right="992" w:hanging="283"/>
        <w:textAlignment w:val="baseline"/>
        <w:rPr>
          <w:rFonts w:asciiTheme="minorHAnsi" w:hAnsiTheme="minorHAnsi" w:cstheme="minorHAnsi"/>
          <w:sz w:val="18"/>
          <w:szCs w:val="18"/>
        </w:rPr>
      </w:pPr>
      <w:r w:rsidRPr="00FC4C8F">
        <w:rPr>
          <w:rFonts w:asciiTheme="minorHAnsi" w:hAnsiTheme="minorHAnsi" w:cstheme="minorHAnsi"/>
          <w:b/>
          <w:bCs/>
          <w:color w:val="000000"/>
          <w:sz w:val="18"/>
          <w:szCs w:val="18"/>
        </w:rPr>
        <w:t>systémová autoimunní onemocnění</w:t>
      </w:r>
      <w:r w:rsidR="00FE13E1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</w:p>
    <w:p w14:paraId="1E66A012" w14:textId="4B5C7725" w:rsidR="00C8172B" w:rsidRPr="00FE13E1" w:rsidRDefault="00C8172B" w:rsidP="00FE13E1">
      <w:pPr>
        <w:pStyle w:val="Standard"/>
        <w:numPr>
          <w:ilvl w:val="0"/>
          <w:numId w:val="12"/>
        </w:numPr>
        <w:tabs>
          <w:tab w:val="left" w:pos="406"/>
        </w:tabs>
        <w:spacing w:line="360" w:lineRule="auto"/>
        <w:ind w:left="1843" w:right="992" w:hanging="283"/>
        <w:textAlignment w:val="baseline"/>
        <w:rPr>
          <w:rFonts w:asciiTheme="minorHAnsi" w:hAnsiTheme="minorHAnsi" w:cstheme="minorHAnsi"/>
          <w:sz w:val="18"/>
          <w:szCs w:val="18"/>
        </w:rPr>
      </w:pPr>
      <w:r w:rsidRPr="00FE13E1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FE13E1">
        <w:rPr>
          <w:rFonts w:asciiTheme="minorHAnsi" w:hAnsiTheme="minorHAnsi" w:cstheme="minorHAnsi"/>
          <w:b/>
          <w:bCs/>
          <w:color w:val="000000"/>
          <w:sz w:val="18"/>
          <w:szCs w:val="18"/>
        </w:rPr>
        <w:t>kožní onemocnění</w:t>
      </w:r>
      <w:r w:rsidR="00FE13E1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</w:p>
    <w:p w14:paraId="2E3964D5" w14:textId="5A96CA1D" w:rsidR="00C8172B" w:rsidRPr="00FC4C8F" w:rsidRDefault="00C8172B" w:rsidP="00364FF7">
      <w:pPr>
        <w:pStyle w:val="Standard"/>
        <w:numPr>
          <w:ilvl w:val="0"/>
          <w:numId w:val="11"/>
        </w:numPr>
        <w:tabs>
          <w:tab w:val="left" w:pos="406"/>
        </w:tabs>
        <w:spacing w:line="360" w:lineRule="auto"/>
        <w:ind w:left="1276" w:right="992" w:hanging="283"/>
        <w:textAlignment w:val="baseline"/>
        <w:rPr>
          <w:rFonts w:asciiTheme="minorHAnsi" w:hAnsiTheme="minorHAnsi" w:cstheme="minorHAnsi"/>
          <w:sz w:val="18"/>
          <w:szCs w:val="18"/>
        </w:rPr>
      </w:pPr>
      <w:r w:rsidRPr="00FC4C8F">
        <w:rPr>
          <w:rFonts w:asciiTheme="minorHAnsi" w:hAnsiTheme="minorHAnsi" w:cstheme="minorHAnsi"/>
          <w:b/>
          <w:bCs/>
          <w:color w:val="000000"/>
          <w:sz w:val="18"/>
          <w:szCs w:val="18"/>
        </w:rPr>
        <w:t>Dávkování</w:t>
      </w:r>
      <w:r w:rsidRPr="00FC4C8F">
        <w:rPr>
          <w:rFonts w:asciiTheme="minorHAnsi" w:hAnsiTheme="minorHAnsi" w:cstheme="minorHAnsi"/>
          <w:color w:val="000000"/>
          <w:sz w:val="18"/>
          <w:szCs w:val="18"/>
        </w:rPr>
        <w:t>: podávání ve formě intravenózní injekce nebo infuze nebo ve formě intramuskulární injekce. Dávky užívané v pediatrii nemají být nižší než 0,5 mg/kg za 24 hodin.</w:t>
      </w:r>
    </w:p>
    <w:p w14:paraId="6ADE02BD" w14:textId="785EBA6F" w:rsidR="00C8172B" w:rsidRPr="00FC4C8F" w:rsidRDefault="00C8172B" w:rsidP="00364FF7">
      <w:pPr>
        <w:pStyle w:val="Standard"/>
        <w:numPr>
          <w:ilvl w:val="0"/>
          <w:numId w:val="11"/>
        </w:numPr>
        <w:tabs>
          <w:tab w:val="left" w:pos="406"/>
        </w:tabs>
        <w:spacing w:line="360" w:lineRule="auto"/>
        <w:ind w:left="1276" w:right="992" w:hanging="283"/>
        <w:textAlignment w:val="baseline"/>
        <w:rPr>
          <w:rFonts w:asciiTheme="minorHAnsi" w:hAnsiTheme="minorHAnsi" w:cstheme="minorHAnsi"/>
          <w:sz w:val="18"/>
          <w:szCs w:val="18"/>
        </w:rPr>
      </w:pPr>
      <w:r w:rsidRPr="00FC4C8F">
        <w:rPr>
          <w:rFonts w:asciiTheme="minorHAnsi" w:hAnsiTheme="minorHAnsi" w:cstheme="minorHAnsi"/>
          <w:b/>
          <w:bCs/>
          <w:color w:val="000000"/>
          <w:sz w:val="18"/>
          <w:szCs w:val="18"/>
        </w:rPr>
        <w:t>Kontraindikace</w:t>
      </w:r>
      <w:r w:rsidRPr="00FC4C8F">
        <w:rPr>
          <w:rFonts w:asciiTheme="minorHAnsi" w:hAnsiTheme="minorHAnsi" w:cstheme="minorHAnsi"/>
          <w:color w:val="000000"/>
          <w:sz w:val="18"/>
          <w:szCs w:val="18"/>
        </w:rPr>
        <w:t>:</w:t>
      </w:r>
      <w:bookmarkStart w:id="2" w:name="dupl6"/>
      <w:bookmarkEnd w:id="2"/>
      <w:r w:rsidRPr="00FC4C8F">
        <w:rPr>
          <w:rFonts w:asciiTheme="minorHAnsi" w:hAnsiTheme="minorHAnsi" w:cstheme="minorHAnsi"/>
          <w:color w:val="000000"/>
          <w:sz w:val="18"/>
          <w:szCs w:val="18"/>
        </w:rPr>
        <w:t xml:space="preserve"> u pacientů se systémovými mykózami, u pacientů s hypersenzitivitou na </w:t>
      </w:r>
      <w:proofErr w:type="spellStart"/>
      <w:r w:rsidRPr="00FC4C8F">
        <w:rPr>
          <w:rFonts w:asciiTheme="minorHAnsi" w:hAnsiTheme="minorHAnsi" w:cstheme="minorHAnsi"/>
          <w:color w:val="000000"/>
          <w:sz w:val="18"/>
          <w:szCs w:val="18"/>
        </w:rPr>
        <w:t>methylprednisolon</w:t>
      </w:r>
      <w:proofErr w:type="spellEnd"/>
      <w:r w:rsidRPr="00FC4C8F">
        <w:rPr>
          <w:rFonts w:asciiTheme="minorHAnsi" w:hAnsiTheme="minorHAnsi" w:cstheme="minorHAnsi"/>
          <w:color w:val="000000"/>
          <w:sz w:val="18"/>
          <w:szCs w:val="18"/>
        </w:rPr>
        <w:t xml:space="preserve"> nebo na kteroukoli pomocnou látku tohoto přípravku, pro </w:t>
      </w:r>
      <w:proofErr w:type="spellStart"/>
      <w:r w:rsidRPr="00FC4C8F">
        <w:rPr>
          <w:rFonts w:asciiTheme="minorHAnsi" w:hAnsiTheme="minorHAnsi" w:cstheme="minorHAnsi"/>
          <w:color w:val="000000"/>
          <w:sz w:val="18"/>
          <w:szCs w:val="18"/>
        </w:rPr>
        <w:t>intratekální</w:t>
      </w:r>
      <w:proofErr w:type="spellEnd"/>
      <w:r w:rsidRPr="00FC4C8F">
        <w:rPr>
          <w:rFonts w:asciiTheme="minorHAnsi" w:hAnsiTheme="minorHAnsi" w:cstheme="minorHAnsi"/>
          <w:color w:val="000000"/>
          <w:sz w:val="18"/>
          <w:szCs w:val="18"/>
        </w:rPr>
        <w:t xml:space="preserve"> podání, pro epidurální podání, </w:t>
      </w:r>
      <w:r w:rsidR="00FE13E1">
        <w:rPr>
          <w:rFonts w:asciiTheme="minorHAnsi" w:hAnsiTheme="minorHAnsi" w:cstheme="minorHAnsi"/>
          <w:color w:val="000000"/>
          <w:sz w:val="18"/>
          <w:szCs w:val="18"/>
        </w:rPr>
        <w:t>o</w:t>
      </w:r>
      <w:r w:rsidRPr="00FC4C8F">
        <w:rPr>
          <w:rFonts w:asciiTheme="minorHAnsi" w:hAnsiTheme="minorHAnsi" w:cstheme="minorHAnsi"/>
          <w:color w:val="000000"/>
          <w:sz w:val="18"/>
          <w:szCs w:val="18"/>
        </w:rPr>
        <w:t>čkování živými nebo živými oslabenými vakcínami je u nemocných užívajících imunosupresívní dávky kortikosteroidů kontraindikováno.</w:t>
      </w:r>
    </w:p>
    <w:p w14:paraId="5A0B1A2F" w14:textId="20B7A8A7" w:rsidR="00A645FB" w:rsidRPr="00A645FB" w:rsidRDefault="00C8172B" w:rsidP="00EB19B5">
      <w:pPr>
        <w:rPr>
          <w:b/>
          <w:bCs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74624" behindDoc="1" locked="0" layoutInCell="1" allowOverlap="1" wp14:anchorId="6E0AF723" wp14:editId="5012DD7A">
            <wp:simplePos x="0" y="0"/>
            <wp:positionH relativeFrom="margin">
              <wp:align>center</wp:align>
            </wp:positionH>
            <wp:positionV relativeFrom="paragraph">
              <wp:posOffset>1293495</wp:posOffset>
            </wp:positionV>
            <wp:extent cx="4953635" cy="4279900"/>
            <wp:effectExtent l="0" t="0" r="0" b="6350"/>
            <wp:wrapTight wrapText="bothSides">
              <wp:wrapPolygon edited="0">
                <wp:start x="0" y="0"/>
                <wp:lineTo x="0" y="21536"/>
                <wp:lineTo x="21514" y="21536"/>
                <wp:lineTo x="21514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645FB" w:rsidRPr="00A64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71384"/>
    <w:multiLevelType w:val="multilevel"/>
    <w:tmpl w:val="DA2C86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1193E32"/>
    <w:multiLevelType w:val="hybridMultilevel"/>
    <w:tmpl w:val="6F127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C86"/>
    <w:multiLevelType w:val="multilevel"/>
    <w:tmpl w:val="D9180D6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071B4318"/>
    <w:multiLevelType w:val="multilevel"/>
    <w:tmpl w:val="7B4EE0C8"/>
    <w:lvl w:ilvl="0">
      <w:numFmt w:val="bullet"/>
      <w:lvlText w:val="–"/>
      <w:lvlJc w:val="left"/>
      <w:pPr>
        <w:ind w:left="1566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926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2286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2646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3006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3366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3726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4086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4446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35E2795"/>
    <w:multiLevelType w:val="hybridMultilevel"/>
    <w:tmpl w:val="86C23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C3CF2"/>
    <w:multiLevelType w:val="multilevel"/>
    <w:tmpl w:val="B8DE9B5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201C7E39"/>
    <w:multiLevelType w:val="multilevel"/>
    <w:tmpl w:val="3BD2796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30FC7EB9"/>
    <w:multiLevelType w:val="hybridMultilevel"/>
    <w:tmpl w:val="7E62094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2A169D8"/>
    <w:multiLevelType w:val="multilevel"/>
    <w:tmpl w:val="1DC8DD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577B5E56"/>
    <w:multiLevelType w:val="multilevel"/>
    <w:tmpl w:val="BBD42326"/>
    <w:lvl w:ilvl="0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>
      <w:numFmt w:val="bullet"/>
      <w:lvlText w:val="–"/>
      <w:lvlJc w:val="left"/>
      <w:pPr>
        <w:ind w:left="143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79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215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51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87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323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59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95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651A7338"/>
    <w:multiLevelType w:val="hybridMultilevel"/>
    <w:tmpl w:val="D5ACB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716E5"/>
    <w:multiLevelType w:val="multilevel"/>
    <w:tmpl w:val="5ED0A760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43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79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215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51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87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323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59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950" w:hanging="360"/>
      </w:pPr>
      <w:rPr>
        <w:rFonts w:ascii="OpenSymbol" w:eastAsia="OpenSymbol" w:hAnsi="OpenSymbol" w:cs="OpenSymbol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0"/>
  </w:num>
  <w:num w:numId="5">
    <w:abstractNumId w:val="4"/>
  </w:num>
  <w:num w:numId="6">
    <w:abstractNumId w:val="11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165"/>
    <w:rsid w:val="0002063F"/>
    <w:rsid w:val="00071757"/>
    <w:rsid w:val="00307E8F"/>
    <w:rsid w:val="00364FF7"/>
    <w:rsid w:val="005B0373"/>
    <w:rsid w:val="00622165"/>
    <w:rsid w:val="006972E8"/>
    <w:rsid w:val="00761C48"/>
    <w:rsid w:val="008C7A17"/>
    <w:rsid w:val="00A04702"/>
    <w:rsid w:val="00A05C94"/>
    <w:rsid w:val="00A268D1"/>
    <w:rsid w:val="00A57656"/>
    <w:rsid w:val="00A645FB"/>
    <w:rsid w:val="00AA2931"/>
    <w:rsid w:val="00C00877"/>
    <w:rsid w:val="00C535A3"/>
    <w:rsid w:val="00C8172B"/>
    <w:rsid w:val="00D04595"/>
    <w:rsid w:val="00D42993"/>
    <w:rsid w:val="00EB19B5"/>
    <w:rsid w:val="00F31825"/>
    <w:rsid w:val="00FC4C8F"/>
    <w:rsid w:val="00FE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1E32C"/>
  <w15:chartTrackingRefBased/>
  <w15:docId w15:val="{615C940E-CF58-49FD-894D-C2B45980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29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5C9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645FB"/>
    <w:rPr>
      <w:color w:val="0563C1" w:themeColor="hyperlink"/>
      <w:u w:val="single"/>
    </w:rPr>
  </w:style>
  <w:style w:type="paragraph" w:customStyle="1" w:styleId="Standard">
    <w:name w:val="Standard"/>
    <w:rsid w:val="00A645F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17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J&#225;t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/index.php?title=Inhibitory_COX-2&amp;action=edit&amp;redlink=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528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Pekara, Jaroslav</dc:creator>
  <cp:keywords/>
  <dc:description/>
  <cp:lastModifiedBy>42072</cp:lastModifiedBy>
  <cp:revision>3</cp:revision>
  <cp:lastPrinted>2020-06-09T14:07:00Z</cp:lastPrinted>
  <dcterms:created xsi:type="dcterms:W3CDTF">2020-06-11T14:04:00Z</dcterms:created>
  <dcterms:modified xsi:type="dcterms:W3CDTF">2020-06-11T14:18:00Z</dcterms:modified>
</cp:coreProperties>
</file>