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65" w:rsidRDefault="0062216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850" w:rsidRDefault="00A05C94" w:rsidP="00971850">
      <w:pPr>
        <w:rPr>
          <w:b/>
          <w:noProof/>
          <w:sz w:val="32"/>
        </w:rPr>
      </w:pPr>
      <w:r>
        <w:t xml:space="preserve">                         </w:t>
      </w:r>
      <w:r w:rsidR="00037617">
        <w:t xml:space="preserve">                </w:t>
      </w:r>
      <w:r>
        <w:t xml:space="preserve">   </w:t>
      </w:r>
      <w:r w:rsidR="00A04702">
        <w:t xml:space="preserve">    </w:t>
      </w:r>
      <w:r>
        <w:t xml:space="preserve"> </w:t>
      </w:r>
      <w:r w:rsidR="00037617">
        <w:rPr>
          <w:b/>
          <w:noProof/>
          <w:sz w:val="32"/>
        </w:rPr>
        <w:t>Noadrenalin (norepinefrin)</w:t>
      </w:r>
    </w:p>
    <w:p w:rsidR="00971850" w:rsidRPr="00971850" w:rsidRDefault="00971850" w:rsidP="00971850">
      <w:pPr>
        <w:rPr>
          <w:b/>
          <w:noProof/>
          <w:sz w:val="32"/>
        </w:rPr>
      </w:pPr>
    </w:p>
    <w:p w:rsidR="007B20F1" w:rsidRPr="00971850" w:rsidRDefault="00037617" w:rsidP="00971850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 w:rsidRPr="00971850">
        <w:rPr>
          <w:sz w:val="20"/>
        </w:rPr>
        <w:t>Endogenní katecholamin, přímé sympatomimetikum alfa, méně beta</w:t>
      </w:r>
    </w:p>
    <w:p w:rsidR="00482FB5" w:rsidRDefault="00971850" w:rsidP="00140131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T</w:t>
      </w:r>
      <w:r w:rsidR="00A05C94" w:rsidRPr="00A04702">
        <w:rPr>
          <w:b/>
          <w:sz w:val="20"/>
        </w:rPr>
        <w:t>erapeutické indikace</w:t>
      </w:r>
      <w:r w:rsidR="002A4D30">
        <w:rPr>
          <w:sz w:val="20"/>
        </w:rPr>
        <w:t xml:space="preserve">: </w:t>
      </w:r>
      <w:r w:rsidR="00140131">
        <w:rPr>
          <w:sz w:val="20"/>
        </w:rPr>
        <w:t>závažná</w:t>
      </w:r>
      <w:r w:rsidR="00482FB5">
        <w:rPr>
          <w:sz w:val="20"/>
        </w:rPr>
        <w:t xml:space="preserve"> </w:t>
      </w:r>
      <w:r w:rsidR="00482FB5" w:rsidRPr="00482FB5">
        <w:rPr>
          <w:rFonts w:ascii="Calibri" w:hAnsi="Calibri"/>
          <w:color w:val="000000" w:themeColor="text1"/>
          <w:sz w:val="20"/>
          <w:szCs w:val="20"/>
        </w:rPr>
        <w:t>hypotenze</w:t>
      </w:r>
      <w:r w:rsidR="00037617" w:rsidRPr="00482FB5">
        <w:rPr>
          <w:color w:val="000000" w:themeColor="text1"/>
          <w:sz w:val="20"/>
        </w:rPr>
        <w:t xml:space="preserve">, </w:t>
      </w:r>
      <w:r w:rsidR="00037617">
        <w:rPr>
          <w:sz w:val="20"/>
        </w:rPr>
        <w:t xml:space="preserve">zejména při </w:t>
      </w:r>
      <w:r w:rsidR="00037617" w:rsidRPr="00140131">
        <w:rPr>
          <w:sz w:val="20"/>
        </w:rPr>
        <w:t>septickém a</w:t>
      </w:r>
    </w:p>
    <w:p w:rsidR="00140131" w:rsidRDefault="00037617" w:rsidP="00482FB5">
      <w:pPr>
        <w:pStyle w:val="Odstavecseseznamem"/>
        <w:spacing w:line="360" w:lineRule="auto"/>
        <w:ind w:left="1428"/>
        <w:rPr>
          <w:sz w:val="20"/>
        </w:rPr>
      </w:pPr>
      <w:r w:rsidRPr="00140131">
        <w:rPr>
          <w:sz w:val="20"/>
        </w:rPr>
        <w:t>distribučním šoku.</w:t>
      </w:r>
    </w:p>
    <w:p w:rsidR="007B20F1" w:rsidRPr="00140131" w:rsidRDefault="00140131" w:rsidP="00140131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 w:rsidRPr="00140131">
        <w:rPr>
          <w:b/>
          <w:sz w:val="20"/>
        </w:rPr>
        <w:t xml:space="preserve">Způsob podání: </w:t>
      </w:r>
      <w:r>
        <w:rPr>
          <w:rFonts w:ascii="Calibri" w:hAnsi="Calibri"/>
          <w:color w:val="000000" w:themeColor="text1"/>
          <w:sz w:val="20"/>
          <w:szCs w:val="20"/>
        </w:rPr>
        <w:t>I</w:t>
      </w:r>
      <w:r w:rsidR="00482FB5">
        <w:rPr>
          <w:rFonts w:ascii="Calibri" w:hAnsi="Calibri"/>
          <w:color w:val="000000" w:themeColor="text1"/>
          <w:sz w:val="20"/>
          <w:szCs w:val="20"/>
        </w:rPr>
        <w:t>ntravenózně.</w:t>
      </w:r>
      <w:r w:rsidRPr="00140131">
        <w:rPr>
          <w:rFonts w:ascii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00482FB5">
        <w:rPr>
          <w:rFonts w:ascii="Calibri" w:hAnsi="Calibri"/>
          <w:color w:val="000000" w:themeColor="text1"/>
          <w:sz w:val="20"/>
          <w:szCs w:val="20"/>
        </w:rPr>
        <w:t>P</w:t>
      </w:r>
      <w:bookmarkStart w:id="0" w:name="_GoBack"/>
      <w:bookmarkEnd w:id="0"/>
      <w:r w:rsidRPr="00140131">
        <w:rPr>
          <w:rFonts w:ascii="Calibri" w:hAnsi="Calibri"/>
          <w:color w:val="000000" w:themeColor="text1"/>
          <w:sz w:val="20"/>
          <w:szCs w:val="20"/>
        </w:rPr>
        <w:t>aravenózně</w:t>
      </w:r>
      <w:proofErr w:type="spellEnd"/>
      <w:r w:rsidRPr="00140131">
        <w:rPr>
          <w:rFonts w:ascii="Calibri" w:hAnsi="Calibri"/>
          <w:color w:val="000000" w:themeColor="text1"/>
          <w:sz w:val="20"/>
          <w:szCs w:val="20"/>
        </w:rPr>
        <w:t xml:space="preserve"> může způsobit až nekrózu</w:t>
      </w:r>
      <w:r>
        <w:rPr>
          <w:rFonts w:ascii="Calibri" w:hAnsi="Calibri"/>
          <w:color w:val="000000" w:themeColor="text1"/>
          <w:sz w:val="20"/>
          <w:szCs w:val="20"/>
        </w:rPr>
        <w:t>.</w:t>
      </w:r>
    </w:p>
    <w:p w:rsidR="00140131" w:rsidRPr="00140131" w:rsidRDefault="00140131" w:rsidP="00140131">
      <w:pPr>
        <w:pStyle w:val="Odstavecseseznamem"/>
        <w:numPr>
          <w:ilvl w:val="0"/>
          <w:numId w:val="1"/>
        </w:numPr>
        <w:spacing w:line="360" w:lineRule="auto"/>
        <w:rPr>
          <w:color w:val="000000" w:themeColor="text1"/>
          <w:sz w:val="20"/>
        </w:rPr>
      </w:pPr>
      <w:r w:rsidRPr="00140131">
        <w:rPr>
          <w:rFonts w:ascii="Calibri" w:hAnsi="Calibri"/>
          <w:b/>
          <w:color w:val="000000" w:themeColor="text1"/>
          <w:sz w:val="20"/>
          <w:szCs w:val="20"/>
        </w:rPr>
        <w:t>Dávkování:</w:t>
      </w:r>
      <w:r w:rsidRPr="00140131">
        <w:rPr>
          <w:rFonts w:ascii="Calibri" w:hAnsi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/>
          <w:color w:val="000000" w:themeColor="text1"/>
          <w:sz w:val="20"/>
          <w:szCs w:val="20"/>
        </w:rPr>
        <w:t>T</w:t>
      </w:r>
      <w:r w:rsidRPr="00140131">
        <w:rPr>
          <w:rFonts w:ascii="Calibri" w:hAnsi="Calibri"/>
          <w:color w:val="000000" w:themeColor="text1"/>
          <w:sz w:val="20"/>
          <w:szCs w:val="20"/>
        </w:rPr>
        <w:t xml:space="preserve">itračně rychlostí 1 ml/hod pro dosažení požadovaného krevního </w:t>
      </w:r>
    </w:p>
    <w:p w:rsidR="00140131" w:rsidRPr="00140131" w:rsidRDefault="00140131" w:rsidP="00140131">
      <w:pPr>
        <w:pStyle w:val="Odstavecseseznamem"/>
        <w:spacing w:line="360" w:lineRule="auto"/>
        <w:ind w:left="1428"/>
        <w:rPr>
          <w:rFonts w:ascii="Calibri" w:hAnsi="Calibri"/>
          <w:color w:val="000000" w:themeColor="text1"/>
          <w:sz w:val="20"/>
          <w:szCs w:val="20"/>
        </w:rPr>
      </w:pPr>
      <w:r w:rsidRPr="00140131">
        <w:rPr>
          <w:rFonts w:ascii="Calibri" w:hAnsi="Calibri"/>
          <w:color w:val="000000" w:themeColor="text1"/>
          <w:sz w:val="20"/>
          <w:szCs w:val="20"/>
        </w:rPr>
        <w:t xml:space="preserve">tlaku za stálé monitorace, nejčastěji naředěním 10 mg do 40 ml 50% glukózy </w:t>
      </w:r>
    </w:p>
    <w:p w:rsidR="00140131" w:rsidRPr="00140131" w:rsidRDefault="00140131" w:rsidP="00140131">
      <w:pPr>
        <w:pStyle w:val="Odstavecseseznamem"/>
        <w:spacing w:line="360" w:lineRule="auto"/>
        <w:ind w:left="1428"/>
        <w:rPr>
          <w:rFonts w:ascii="Calibri" w:hAnsi="Calibri"/>
          <w:color w:val="000000" w:themeColor="text1"/>
          <w:sz w:val="20"/>
          <w:szCs w:val="20"/>
        </w:rPr>
      </w:pPr>
      <w:r w:rsidRPr="00140131">
        <w:rPr>
          <w:rFonts w:ascii="Calibri" w:hAnsi="Calibri"/>
          <w:color w:val="000000" w:themeColor="text1"/>
          <w:sz w:val="20"/>
          <w:szCs w:val="20"/>
        </w:rPr>
        <w:t xml:space="preserve">nebo fyziologického roztoku s přídavkem glukózy (ta zabraňuje oxidaci), při </w:t>
      </w:r>
    </w:p>
    <w:p w:rsidR="00140131" w:rsidRPr="00140131" w:rsidRDefault="00140131" w:rsidP="00140131">
      <w:pPr>
        <w:pStyle w:val="Odstavecseseznamem"/>
        <w:spacing w:line="360" w:lineRule="auto"/>
        <w:ind w:left="1428"/>
        <w:rPr>
          <w:color w:val="000000" w:themeColor="text1"/>
          <w:sz w:val="20"/>
        </w:rPr>
      </w:pPr>
      <w:r w:rsidRPr="00140131">
        <w:rPr>
          <w:rFonts w:ascii="Calibri" w:hAnsi="Calibri"/>
          <w:color w:val="000000" w:themeColor="text1"/>
          <w:sz w:val="20"/>
          <w:szCs w:val="20"/>
        </w:rPr>
        <w:t>předávkování hrozí extrémní hypertenze s reflexní bradykardií.</w:t>
      </w:r>
    </w:p>
    <w:p w:rsidR="00140131" w:rsidRPr="00140131" w:rsidRDefault="00971850" w:rsidP="00140131">
      <w:pPr>
        <w:pStyle w:val="Odstavecseseznamem"/>
        <w:numPr>
          <w:ilvl w:val="0"/>
          <w:numId w:val="1"/>
        </w:numPr>
        <w:spacing w:line="360" w:lineRule="auto"/>
        <w:rPr>
          <w:color w:val="000000" w:themeColor="text1"/>
          <w:sz w:val="20"/>
        </w:rPr>
      </w:pPr>
      <w:r>
        <w:rPr>
          <w:b/>
          <w:sz w:val="20"/>
        </w:rPr>
        <w:t xml:space="preserve">Kontraindikace: </w:t>
      </w:r>
      <w:r w:rsidR="00140131" w:rsidRPr="00140131">
        <w:rPr>
          <w:rFonts w:ascii="Calibri" w:hAnsi="Calibri"/>
          <w:color w:val="000000" w:themeColor="text1"/>
          <w:sz w:val="20"/>
          <w:szCs w:val="20"/>
        </w:rPr>
        <w:t>v</w:t>
      </w:r>
      <w:r w:rsidR="00140131">
        <w:rPr>
          <w:rFonts w:ascii="Calibri" w:hAnsi="Calibri"/>
          <w:color w:val="000000" w:themeColor="text1"/>
          <w:sz w:val="20"/>
          <w:szCs w:val="20"/>
        </w:rPr>
        <w:t> urgentní medicíně</w:t>
      </w:r>
      <w:r w:rsidR="00140131" w:rsidRPr="00140131">
        <w:rPr>
          <w:rFonts w:ascii="Calibri" w:hAnsi="Calibri"/>
          <w:color w:val="000000" w:themeColor="text1"/>
          <w:sz w:val="20"/>
          <w:szCs w:val="20"/>
        </w:rPr>
        <w:t xml:space="preserve"> nejsou žádné, špatné je však podání při </w:t>
      </w:r>
    </w:p>
    <w:p w:rsidR="007B20F1" w:rsidRPr="00140131" w:rsidRDefault="00140131" w:rsidP="00140131">
      <w:pPr>
        <w:pStyle w:val="Odstavecseseznamem"/>
        <w:spacing w:line="360" w:lineRule="auto"/>
        <w:ind w:left="1428"/>
        <w:rPr>
          <w:color w:val="000000" w:themeColor="text1"/>
          <w:sz w:val="20"/>
        </w:rPr>
      </w:pPr>
      <w:proofErr w:type="spellStart"/>
      <w:proofErr w:type="gramStart"/>
      <w:r w:rsidRPr="00140131">
        <w:rPr>
          <w:rFonts w:ascii="Calibri" w:hAnsi="Calibri"/>
          <w:color w:val="000000" w:themeColor="text1"/>
          <w:sz w:val="20"/>
          <w:szCs w:val="20"/>
        </w:rPr>
        <w:t>hypovolemickém</w:t>
      </w:r>
      <w:proofErr w:type="spellEnd"/>
      <w:proofErr w:type="gramEnd"/>
      <w:r w:rsidRPr="00140131">
        <w:rPr>
          <w:rFonts w:ascii="Calibri" w:hAnsi="Calibri"/>
          <w:color w:val="000000" w:themeColor="text1"/>
          <w:sz w:val="20"/>
          <w:szCs w:val="20"/>
        </w:rPr>
        <w:t xml:space="preserve"> šoku, pokud lze doplnit tekutiny.</w:t>
      </w:r>
    </w:p>
    <w:p w:rsidR="00971850" w:rsidRPr="007B20F1" w:rsidRDefault="00971850" w:rsidP="007B20F1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 w:rsidRPr="00971850">
        <w:rPr>
          <w:b/>
          <w:sz w:val="20"/>
        </w:rPr>
        <w:t>Nežádoucí účinky</w:t>
      </w:r>
      <w:r>
        <w:rPr>
          <w:sz w:val="20"/>
        </w:rPr>
        <w:t>: hypertenze, bolesti hlavy, arytmie, dechové obtíže</w:t>
      </w:r>
      <w:r w:rsidR="00CB05F7">
        <w:rPr>
          <w:sz w:val="20"/>
        </w:rPr>
        <w:t>.</w:t>
      </w: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482FB5"/>
    <w:p w:rsidR="00622165" w:rsidRDefault="00622165"/>
    <w:p w:rsidR="00622165" w:rsidRDefault="002A4D30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D2D9301" wp14:editId="586D840C">
            <wp:simplePos x="0" y="0"/>
            <wp:positionH relativeFrom="margin">
              <wp:posOffset>138430</wp:posOffset>
            </wp:positionH>
            <wp:positionV relativeFrom="paragraph">
              <wp:posOffset>-283210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2A4D30" w:rsidRDefault="002A4D30"/>
    <w:p w:rsidR="002A4D30" w:rsidRDefault="002A4D30"/>
    <w:sectPr w:rsidR="002A4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C7EB9"/>
    <w:multiLevelType w:val="hybridMultilevel"/>
    <w:tmpl w:val="8B34DAA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65"/>
    <w:rsid w:val="0002063F"/>
    <w:rsid w:val="00037617"/>
    <w:rsid w:val="00140131"/>
    <w:rsid w:val="002A4D30"/>
    <w:rsid w:val="00307E8F"/>
    <w:rsid w:val="00437BA3"/>
    <w:rsid w:val="00482FB5"/>
    <w:rsid w:val="00622165"/>
    <w:rsid w:val="006972E8"/>
    <w:rsid w:val="00761C48"/>
    <w:rsid w:val="007B20F1"/>
    <w:rsid w:val="00971850"/>
    <w:rsid w:val="00A04702"/>
    <w:rsid w:val="00A05C94"/>
    <w:rsid w:val="00A268D1"/>
    <w:rsid w:val="00A57656"/>
    <w:rsid w:val="00AA2931"/>
    <w:rsid w:val="00C00877"/>
    <w:rsid w:val="00CB05F7"/>
    <w:rsid w:val="00D04595"/>
    <w:rsid w:val="00D42993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A010"/>
  <w15:chartTrackingRefBased/>
  <w15:docId w15:val="{615C940E-CF58-49FD-894D-C2B4598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Microsoft</cp:lastModifiedBy>
  <cp:revision>7</cp:revision>
  <dcterms:created xsi:type="dcterms:W3CDTF">2020-03-08T20:02:00Z</dcterms:created>
  <dcterms:modified xsi:type="dcterms:W3CDTF">2020-03-29T16:15:00Z</dcterms:modified>
</cp:coreProperties>
</file>