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1" distT="0" distB="3810" distL="114300" distR="123190" simplePos="0" locked="0" layoutInCell="1" allowOverlap="1" relativeHeight="2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0" b="0"/>
            <wp:wrapNone/>
            <wp:docPr id="1" name="Obráze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spacing w:lineRule="exact" w:line="300"/>
        <w:jc w:val="left"/>
        <w:rPr/>
      </w:pPr>
      <w:r>
        <w:rPr/>
        <w:t xml:space="preserve">                                      </w:t>
      </w:r>
      <w:r>
        <w:rPr>
          <w:b/>
          <w:sz w:val="32"/>
        </w:rPr>
        <w:t>DEXAMED 8 mg/2ml injekční roztok</w:t>
      </w:r>
    </w:p>
    <w:p>
      <w:pPr>
        <w:pStyle w:val="Normal"/>
        <w:spacing w:lineRule="exact" w:line="300"/>
        <w:jc w:val="left"/>
        <w:rPr/>
      </w:pPr>
      <w:r>
        <w:rPr>
          <w:b/>
          <w:sz w:val="32"/>
        </w:rPr>
        <w:t xml:space="preserve">                      </w:t>
      </w:r>
      <w:r>
        <w:rPr>
          <w:b/>
          <w:sz w:val="32"/>
        </w:rPr>
        <w:t>(</w:t>
      </w:r>
      <w:r>
        <w:rPr>
          <w:b/>
          <w:i/>
          <w:iCs/>
          <w:sz w:val="32"/>
        </w:rPr>
        <w:t>dexamethasoni dihydrogenophosphas</w:t>
      </w:r>
      <w:r>
        <w:rPr>
          <w:b/>
          <w:sz w:val="32"/>
        </w:rPr>
        <w:t>)</w:t>
      </w:r>
    </w:p>
    <w:p>
      <w:pPr>
        <w:pStyle w:val="ListParagraph"/>
        <w:numPr>
          <w:ilvl w:val="0"/>
          <w:numId w:val="1"/>
        </w:numPr>
        <w:spacing w:lineRule="exact" w:line="200"/>
        <w:rPr>
          <w:sz w:val="20"/>
          <w:szCs w:val="20"/>
        </w:rPr>
      </w:pPr>
      <w:r>
        <w:rPr>
          <w:sz w:val="20"/>
          <w:szCs w:val="20"/>
        </w:rPr>
        <w:t xml:space="preserve">Dexamethason je syntetický glukokortikoid s protizánětlivým účinkem </w:t>
      </w:r>
    </w:p>
    <w:p>
      <w:pPr>
        <w:pStyle w:val="ListParagraph"/>
        <w:numPr>
          <w:ilvl w:val="0"/>
          <w:numId w:val="0"/>
        </w:numPr>
        <w:spacing w:lineRule="exact" w:line="200"/>
        <w:ind w:left="1788" w:hanging="0"/>
        <w:rPr>
          <w:sz w:val="20"/>
          <w:szCs w:val="20"/>
        </w:rPr>
      </w:pPr>
      <w:r>
        <w:rPr>
          <w:sz w:val="20"/>
          <w:szCs w:val="20"/>
        </w:rPr>
        <w:t xml:space="preserve">(7x silnější účinek než prednisolon); má antialergické, antipyretické </w:t>
      </w:r>
    </w:p>
    <w:p>
      <w:pPr>
        <w:pStyle w:val="ListParagraph"/>
        <w:numPr>
          <w:ilvl w:val="0"/>
          <w:numId w:val="0"/>
        </w:numPr>
        <w:spacing w:lineRule="exact" w:line="200"/>
        <w:ind w:left="1788" w:hanging="0"/>
        <w:rPr>
          <w:sz w:val="20"/>
          <w:szCs w:val="20"/>
        </w:rPr>
      </w:pPr>
      <w:r>
        <w:rPr>
          <w:sz w:val="20"/>
          <w:szCs w:val="20"/>
        </w:rPr>
        <w:t>a imunosupresivní účinky</w:t>
      </w:r>
    </w:p>
    <w:p>
      <w:pPr>
        <w:pStyle w:val="ListParagraph"/>
        <w:numPr>
          <w:ilvl w:val="0"/>
          <w:numId w:val="1"/>
        </w:numPr>
        <w:spacing w:lineRule="exact" w:line="200"/>
        <w:rPr/>
      </w:pPr>
      <w:r>
        <w:rPr>
          <w:b w:val="false"/>
          <w:bCs w:val="false"/>
          <w:sz w:val="20"/>
          <w:szCs w:val="20"/>
        </w:rPr>
        <w:t xml:space="preserve">Dexamed je určen pro všechny formy celkové i místní injekční terapie </w:t>
      </w:r>
    </w:p>
    <w:p>
      <w:pPr>
        <w:pStyle w:val="ListParagraph"/>
        <w:numPr>
          <w:ilvl w:val="0"/>
          <w:numId w:val="0"/>
        </w:numPr>
        <w:spacing w:lineRule="exact" w:line="200"/>
        <w:ind w:left="1788" w:hanging="0"/>
        <w:rPr/>
      </w:pPr>
      <w:r>
        <w:rPr>
          <w:b w:val="false"/>
          <w:bCs w:val="false"/>
          <w:sz w:val="20"/>
          <w:szCs w:val="20"/>
        </w:rPr>
        <w:t xml:space="preserve">glukokortikoidy i pro akutní případy, kdy i.v. podání glukokortikoidů </w:t>
      </w:r>
    </w:p>
    <w:p>
      <w:pPr>
        <w:pStyle w:val="ListParagraph"/>
        <w:numPr>
          <w:ilvl w:val="0"/>
          <w:numId w:val="0"/>
        </w:numPr>
        <w:spacing w:lineRule="exact" w:line="200"/>
        <w:ind w:left="1788" w:hanging="0"/>
        <w:rPr>
          <w:sz w:val="20"/>
          <w:szCs w:val="20"/>
        </w:rPr>
      </w:pPr>
      <w:r>
        <w:rPr>
          <w:b w:val="false"/>
          <w:bCs w:val="false"/>
          <w:sz w:val="20"/>
          <w:szCs w:val="20"/>
        </w:rPr>
        <w:t>může být život zachraňujícím výkonem</w:t>
      </w:r>
    </w:p>
    <w:p>
      <w:pPr>
        <w:pStyle w:val="ListParagraph"/>
        <w:numPr>
          <w:ilvl w:val="0"/>
          <w:numId w:val="1"/>
        </w:numPr>
        <w:spacing w:lineRule="exact" w:line="200"/>
        <w:rPr>
          <w:sz w:val="20"/>
          <w:szCs w:val="20"/>
        </w:rPr>
      </w:pPr>
      <w:r>
        <w:rPr>
          <w:b/>
          <w:sz w:val="20"/>
          <w:szCs w:val="20"/>
        </w:rPr>
        <w:t>terapeutické indikace</w:t>
      </w:r>
      <w:r>
        <w:rPr>
          <w:sz w:val="20"/>
          <w:szCs w:val="20"/>
        </w:rPr>
        <w:t xml:space="preserve"> – </w:t>
      </w:r>
      <w:r>
        <w:rPr>
          <w:b/>
          <w:bCs/>
          <w:sz w:val="20"/>
          <w:szCs w:val="20"/>
          <w:u w:val="single"/>
        </w:rPr>
        <w:t>alergická onemocnění</w:t>
      </w:r>
      <w:r>
        <w:rPr>
          <w:sz w:val="20"/>
          <w:szCs w:val="20"/>
        </w:rPr>
        <w:t xml:space="preserve"> – asthma bronchiale, status </w:t>
      </w:r>
    </w:p>
    <w:p>
      <w:pPr>
        <w:pStyle w:val="ListParagraph"/>
        <w:numPr>
          <w:ilvl w:val="0"/>
          <w:numId w:val="0"/>
        </w:numPr>
        <w:spacing w:lineRule="exact" w:line="200"/>
        <w:ind w:left="1788" w:hanging="0"/>
        <w:rPr>
          <w:sz w:val="20"/>
          <w:szCs w:val="20"/>
        </w:rPr>
      </w:pPr>
      <w:r>
        <w:rPr>
          <w:sz w:val="20"/>
          <w:szCs w:val="20"/>
        </w:rPr>
        <w:t xml:space="preserve">asthmaticus, polékové alerg. reakce, edém laryngu, anafylaktická reakce, </w:t>
      </w:r>
    </w:p>
    <w:p>
      <w:pPr>
        <w:pStyle w:val="ListParagraph"/>
        <w:numPr>
          <w:ilvl w:val="0"/>
          <w:numId w:val="0"/>
        </w:numPr>
        <w:spacing w:lineRule="exact" w:line="200"/>
        <w:ind w:left="1788" w:hanging="0"/>
        <w:rPr>
          <w:sz w:val="20"/>
          <w:szCs w:val="20"/>
        </w:rPr>
      </w:pPr>
      <w:r>
        <w:rPr>
          <w:sz w:val="20"/>
          <w:szCs w:val="20"/>
        </w:rPr>
        <w:t>dermatitidy, alergické rhinitidy</w:t>
      </w:r>
    </w:p>
    <w:p>
      <w:pPr>
        <w:pStyle w:val="ListParagraph"/>
        <w:numPr>
          <w:ilvl w:val="0"/>
          <w:numId w:val="0"/>
        </w:numPr>
        <w:spacing w:lineRule="exact" w:line="200"/>
        <w:ind w:left="1416" w:hanging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  <w:u w:val="single"/>
        </w:rPr>
        <w:t>šokové stavy</w:t>
      </w:r>
      <w:r>
        <w:rPr>
          <w:b w:val="false"/>
          <w:bCs w:val="false"/>
          <w:sz w:val="20"/>
          <w:szCs w:val="20"/>
          <w:u w:val="none"/>
        </w:rPr>
        <w:t>- hemoragický, traumatický a septický šok jako doplňková léčba</w:t>
      </w:r>
    </w:p>
    <w:p>
      <w:pPr>
        <w:pStyle w:val="ListParagraph"/>
        <w:numPr>
          <w:ilvl w:val="0"/>
          <w:numId w:val="0"/>
        </w:numPr>
        <w:spacing w:lineRule="exact" w:line="200"/>
        <w:ind w:left="1416" w:hanging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  <w:u w:val="single"/>
        </w:rPr>
        <w:t>mozkový edém</w:t>
      </w:r>
      <w:r>
        <w:rPr>
          <w:b w:val="false"/>
          <w:bCs w:val="false"/>
          <w:sz w:val="20"/>
          <w:szCs w:val="20"/>
          <w:u w:val="none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exact" w:line="200"/>
        <w:rPr>
          <w:sz w:val="20"/>
          <w:szCs w:val="20"/>
        </w:rPr>
      </w:pPr>
      <w:r>
        <w:rPr>
          <w:sz w:val="20"/>
          <w:szCs w:val="20"/>
        </w:rPr>
        <w:t xml:space="preserve">dávkování obvykle závisí na odpovědi pacienta a závažnosti jeho stavu; obvyklá </w:t>
      </w:r>
    </w:p>
    <w:p>
      <w:pPr>
        <w:pStyle w:val="ListParagraph"/>
        <w:numPr>
          <w:ilvl w:val="0"/>
          <w:numId w:val="0"/>
        </w:numPr>
        <w:spacing w:lineRule="exact" w:line="200"/>
        <w:ind w:left="1788" w:hanging="0"/>
        <w:rPr>
          <w:sz w:val="20"/>
          <w:szCs w:val="20"/>
        </w:rPr>
      </w:pPr>
      <w:r>
        <w:rPr>
          <w:sz w:val="20"/>
          <w:szCs w:val="20"/>
        </w:rPr>
        <w:t xml:space="preserve">úvodní dávka je 0,5 – 20 mg/den; </w:t>
      </w:r>
      <w:r>
        <w:rPr>
          <w:b/>
          <w:bCs/>
          <w:sz w:val="20"/>
          <w:szCs w:val="20"/>
        </w:rPr>
        <w:t xml:space="preserve">vysoké dávky jsou doporučovány pro </w:t>
      </w:r>
    </w:p>
    <w:p>
      <w:pPr>
        <w:pStyle w:val="ListParagraph"/>
        <w:numPr>
          <w:ilvl w:val="0"/>
          <w:numId w:val="0"/>
        </w:numPr>
        <w:spacing w:lineRule="exact" w:line="200"/>
        <w:ind w:left="1788" w:hanging="0"/>
        <w:rPr>
          <w:sz w:val="20"/>
          <w:szCs w:val="20"/>
        </w:rPr>
      </w:pPr>
      <w:r>
        <w:rPr>
          <w:b/>
          <w:bCs/>
          <w:sz w:val="20"/>
          <w:szCs w:val="20"/>
        </w:rPr>
        <w:t>zahájení krátkodobé terapie život ohrožujícího mozkového edému</w:t>
      </w:r>
      <w:r>
        <w:rPr>
          <w:b w:val="false"/>
          <w:bCs w:val="false"/>
          <w:sz w:val="20"/>
          <w:szCs w:val="20"/>
        </w:rPr>
        <w:t xml:space="preserve">: </w:t>
      </w:r>
    </w:p>
    <w:p>
      <w:pPr>
        <w:pStyle w:val="ListParagraph"/>
        <w:numPr>
          <w:ilvl w:val="0"/>
          <w:numId w:val="0"/>
        </w:numPr>
        <w:spacing w:lineRule="exact" w:line="200"/>
        <w:ind w:left="1788" w:hanging="0"/>
        <w:rPr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dospělí -úvodní dávka 50 mg i.v.; </w:t>
      </w:r>
    </w:p>
    <w:p>
      <w:pPr>
        <w:pStyle w:val="ListParagraph"/>
        <w:numPr>
          <w:ilvl w:val="0"/>
          <w:numId w:val="0"/>
        </w:numPr>
        <w:spacing w:lineRule="exact" w:line="200"/>
        <w:ind w:left="1788" w:hanging="0"/>
        <w:rPr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děti (35 kg a více)–úvodní dávka 25 mg i.v.; </w:t>
      </w:r>
    </w:p>
    <w:p>
      <w:pPr>
        <w:pStyle w:val="ListParagraph"/>
        <w:numPr>
          <w:ilvl w:val="0"/>
          <w:numId w:val="0"/>
        </w:numPr>
        <w:spacing w:lineRule="exact" w:line="200"/>
        <w:ind w:left="1788" w:hanging="0"/>
        <w:rPr>
          <w:b/>
          <w:b/>
          <w:bCs/>
        </w:rPr>
      </w:pPr>
      <w:r>
        <w:rPr>
          <w:b w:val="false"/>
          <w:bCs w:val="false"/>
          <w:sz w:val="20"/>
          <w:szCs w:val="20"/>
        </w:rPr>
        <w:t>děti (méně než 35 kg) – úvodní dávka 20 mg i.v.</w:t>
      </w:r>
    </w:p>
    <w:p>
      <w:pPr>
        <w:pStyle w:val="ListParagraph"/>
        <w:numPr>
          <w:ilvl w:val="0"/>
          <w:numId w:val="1"/>
        </w:numPr>
        <w:spacing w:lineRule="exact" w:line="200"/>
        <w:rPr>
          <w:sz w:val="20"/>
          <w:szCs w:val="20"/>
        </w:rPr>
      </w:pPr>
      <w:r>
        <w:rPr>
          <w:b/>
          <w:sz w:val="20"/>
          <w:szCs w:val="20"/>
        </w:rPr>
        <w:t xml:space="preserve">hlavními kontraindikacemi jsou: hypersenzitivita na účinnou nebo pomocnou </w:t>
      </w:r>
    </w:p>
    <w:p>
      <w:pPr>
        <w:pStyle w:val="ListParagraph"/>
        <w:numPr>
          <w:ilvl w:val="0"/>
          <w:numId w:val="0"/>
        </w:numPr>
        <w:spacing w:lineRule="exact" w:line="200"/>
        <w:ind w:left="1788" w:hanging="0"/>
        <w:rPr>
          <w:sz w:val="20"/>
          <w:szCs w:val="20"/>
        </w:rPr>
      </w:pPr>
      <w:r>
        <w:rPr>
          <w:b/>
          <w:sz w:val="20"/>
          <w:szCs w:val="20"/>
        </w:rPr>
        <w:t>látku</w:t>
      </w:r>
    </w:p>
    <w:p>
      <w:pPr>
        <w:pStyle w:val="ListParagraph"/>
        <w:numPr>
          <w:ilvl w:val="0"/>
          <w:numId w:val="1"/>
        </w:numPr>
        <w:spacing w:lineRule="exact" w:line="200" w:before="0" w:after="46"/>
        <w:contextualSpacing/>
        <w:rPr/>
      </w:pPr>
      <w:r>
        <w:rPr>
          <w:b/>
          <w:sz w:val="20"/>
          <w:szCs w:val="20"/>
        </w:rPr>
        <w:t>nesmí se podávat nedonošeným dětem a novorozencům</w:t>
      </w:r>
    </w:p>
    <w:p>
      <w:pPr>
        <w:pStyle w:val="ListParagraph"/>
        <w:numPr>
          <w:ilvl w:val="0"/>
          <w:numId w:val="1"/>
        </w:numPr>
        <w:spacing w:lineRule="exact" w:line="200" w:before="0" w:after="46"/>
        <w:contextualSpacing/>
        <w:rPr/>
      </w:pPr>
      <w:r>
        <w:rPr>
          <w:b/>
          <w:sz w:val="20"/>
          <w:szCs w:val="20"/>
        </w:rPr>
        <w:t xml:space="preserve">pokud použití glukokortikoidů může být život zachraňující, na kontraindikaci </w:t>
      </w:r>
    </w:p>
    <w:p>
      <w:pPr>
        <w:pStyle w:val="ListParagraph"/>
        <w:numPr>
          <w:ilvl w:val="0"/>
          <w:numId w:val="0"/>
        </w:numPr>
        <w:spacing w:lineRule="exact" w:line="200" w:before="0" w:after="46"/>
        <w:ind w:left="2508" w:hanging="0"/>
        <w:contextualSpacing/>
        <w:rPr/>
      </w:pPr>
      <w:r>
        <w:rPr>
          <w:b/>
          <w:sz w:val="20"/>
          <w:szCs w:val="20"/>
        </w:rPr>
        <w:t>se obvykle nebere zřetel</w:t>
      </w:r>
    </w:p>
    <w:p>
      <w:pPr>
        <w:pStyle w:val="ListParagraph"/>
        <w:numPr>
          <w:ilvl w:val="0"/>
          <w:numId w:val="0"/>
        </w:numPr>
        <w:spacing w:lineRule="exact" w:line="200" w:before="0" w:after="46"/>
        <w:ind w:left="1788" w:hanging="0"/>
        <w:contextualSpacing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0"/>
        </w:numPr>
        <w:spacing w:lineRule="exact" w:line="200" w:before="0" w:after="46"/>
        <w:ind w:left="1788" w:hanging="0"/>
        <w:contextualSpacing/>
        <w:rPr>
          <w:b/>
          <w:b/>
          <w:sz w:val="20"/>
          <w:szCs w:val="20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exact" w:line="200"/>
        <w:ind w:left="1788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left" w:pos="2063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6350" distL="114300" distR="114300" simplePos="0" locked="0" layoutInCell="1" allowOverlap="1" relativeHeight="3">
            <wp:simplePos x="0" y="0"/>
            <wp:positionH relativeFrom="column">
              <wp:posOffset>147955</wp:posOffset>
            </wp:positionH>
            <wp:positionV relativeFrom="paragraph">
              <wp:posOffset>104140</wp:posOffset>
            </wp:positionV>
            <wp:extent cx="4953635" cy="4279900"/>
            <wp:effectExtent l="0" t="0" r="0" b="0"/>
            <wp:wrapTight wrapText="bothSides">
              <wp:wrapPolygon edited="0">
                <wp:start x="-49" y="0"/>
                <wp:lineTo x="-49" y="21484"/>
                <wp:lineTo x="21505" y="21484"/>
                <wp:lineTo x="21505" y="0"/>
                <wp:lineTo x="-49" y="0"/>
              </wp:wrapPolygon>
            </wp:wrapTight>
            <wp:docPr id="2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auto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sz w:val="20"/>
        <w:b w:val="false"/>
        <w:rFonts w:cs="Symbo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4299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b w:val="false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  <w:b w:val="false"/>
      <w:sz w:val="20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a05c9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LibreOffice_Vanilla/6.0.4.5$MacOSX_X86_64 LibreOffice_project/6840e4519a6ce8bcc1328eb2d87b5c46c6df1038</Application>
  <Pages>1</Pages>
  <Words>179</Words>
  <Characters>1093</Characters>
  <CharactersWithSpaces>1312</CharactersWithSpaces>
  <Paragraphs>25</Paragraphs>
  <Company>VSZDRAV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2020-03-08T20:02:00Z</dcterms:created>
  <dc:creator>Pekara, Jaroslav</dc:creator>
  <dc:description/>
  <dc:language>cs-CZ</dc:language>
  <cp:lastModifiedBy/>
  <dcterms:modified xsi:type="dcterms:W3CDTF">2020-06-14T15:09:08Z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VSZDRAV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