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3810" distL="114300" distR="123190" simplePos="0" locked="0" layoutInCell="1" allowOverlap="1" relativeHeight="2">
            <wp:simplePos x="0" y="0"/>
            <wp:positionH relativeFrom="column">
              <wp:posOffset>476885</wp:posOffset>
            </wp:positionH>
            <wp:positionV relativeFrom="paragraph">
              <wp:posOffset>-160020</wp:posOffset>
            </wp:positionV>
            <wp:extent cx="4886325" cy="428244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exact" w:line="300"/>
        <w:jc w:val="left"/>
        <w:rPr/>
      </w:pPr>
      <w:r>
        <w:rPr/>
        <w:t xml:space="preserve">                                              </w:t>
      </w:r>
      <w:r>
        <w:rPr>
          <w:b/>
          <w:sz w:val="32"/>
        </w:rPr>
        <w:t>DIAZEPAM desitin rectal tube</w:t>
      </w:r>
    </w:p>
    <w:p>
      <w:pPr>
        <w:pStyle w:val="Normal"/>
        <w:spacing w:lineRule="exact" w:line="300" w:before="0" w:after="0"/>
        <w:jc w:val="left"/>
        <w:rPr/>
      </w:pPr>
      <w:r>
        <w:rPr>
          <w:b/>
          <w:sz w:val="32"/>
        </w:rPr>
        <w:t xml:space="preserve">                                        </w:t>
      </w:r>
      <w:r>
        <w:rPr>
          <w:b/>
          <w:sz w:val="32"/>
        </w:rPr>
        <w:t>10 mg / 5 mg</w:t>
      </w:r>
    </w:p>
    <w:p>
      <w:pPr>
        <w:pStyle w:val="Normal"/>
        <w:spacing w:lineRule="exact" w:line="20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sz w:val="18"/>
          <w:szCs w:val="18"/>
        </w:rPr>
        <w:t xml:space="preserve">Diazepam je psychotropní látka ze skupiny 1,4-benzodiazepinů s výrazným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sz w:val="18"/>
          <w:szCs w:val="18"/>
        </w:rPr>
        <w:t xml:space="preserve">tlumivým účinkem na stavy napětí, vzrušení a úzkosti, dále s hypnotickým a 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sz w:val="18"/>
          <w:szCs w:val="18"/>
        </w:rPr>
        <w:t xml:space="preserve">sedativním účinkem, ve vyšších dávkách způsobuje pokles svalového tonu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sz w:val="18"/>
          <w:szCs w:val="18"/>
        </w:rPr>
        <w:t>a má antikonvulzivní účinky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sz w:val="18"/>
          <w:szCs w:val="18"/>
        </w:rPr>
        <w:t>rektální roztok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přípravek je určen dospělým a dětem od 6 měsíců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d</w:t>
      </w:r>
      <w:r>
        <w:rPr>
          <w:b w:val="false"/>
          <w:bCs w:val="false"/>
          <w:sz w:val="18"/>
          <w:szCs w:val="18"/>
        </w:rPr>
        <w:t xml:space="preserve">ávkování je individuální dle věku a tělesné hmotnosti pacienta a dle druhu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b w:val="false"/>
          <w:b w:val="false"/>
          <w:bCs w:val="false"/>
        </w:rPr>
      </w:pPr>
      <w:r>
        <w:rPr>
          <w:b w:val="false"/>
          <w:bCs w:val="false"/>
          <w:sz w:val="18"/>
          <w:szCs w:val="18"/>
        </w:rPr>
        <w:t>závažnosti onemocnění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b/>
          <w:sz w:val="18"/>
          <w:szCs w:val="18"/>
        </w:rPr>
        <w:t>terapeutické indikace</w:t>
      </w:r>
      <w:r>
        <w:rPr>
          <w:sz w:val="18"/>
          <w:szCs w:val="18"/>
        </w:rPr>
        <w:t xml:space="preserve"> – </w:t>
      </w:r>
      <w:r>
        <w:rPr>
          <w:b/>
          <w:bCs/>
          <w:sz w:val="18"/>
          <w:szCs w:val="18"/>
          <w:u w:val="single"/>
        </w:rPr>
        <w:t>status epilepticus</w:t>
      </w:r>
      <w:r>
        <w:rPr>
          <w:sz w:val="18"/>
          <w:szCs w:val="18"/>
        </w:rPr>
        <w:t xml:space="preserve"> – dospělí 5-10 mg do celkové max.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sz w:val="18"/>
          <w:szCs w:val="18"/>
        </w:rPr>
        <w:t xml:space="preserve">dávky 30 mg, dětem podle věku a hmotnosti 0,2 – 0,5 mg/kg, tj. rektálně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sz w:val="18"/>
          <w:szCs w:val="18"/>
        </w:rPr>
        <w:t xml:space="preserve">5 – 10 mg, do max. denní dávky 20 mg; od 6 měs. A do 15 kg 5mg, od 15 kg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sz w:val="18"/>
          <w:szCs w:val="18"/>
        </w:rPr>
        <w:t>10 mg</w:t>
      </w:r>
    </w:p>
    <w:p>
      <w:pPr>
        <w:pStyle w:val="ListParagraph"/>
        <w:numPr>
          <w:ilvl w:val="0"/>
          <w:numId w:val="0"/>
        </w:numPr>
        <w:spacing w:lineRule="exact" w:line="200"/>
        <w:ind w:left="2124" w:hanging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bCs/>
          <w:sz w:val="18"/>
          <w:szCs w:val="18"/>
          <w:u w:val="single"/>
        </w:rPr>
        <w:t>akutní klinická intervence při stavech úzkosti, napět</w:t>
      </w:r>
      <w:r>
        <w:rPr>
          <w:sz w:val="18"/>
          <w:szCs w:val="18"/>
        </w:rPr>
        <w:t>í</w:t>
      </w:r>
      <w:r>
        <w:rPr>
          <w:b/>
          <w:bCs/>
          <w:sz w:val="18"/>
          <w:szCs w:val="18"/>
          <w:u w:val="single"/>
        </w:rPr>
        <w:t xml:space="preserve"> a dále u tetanu a</w:t>
      </w:r>
    </w:p>
    <w:p>
      <w:pPr>
        <w:pStyle w:val="ListParagraph"/>
        <w:numPr>
          <w:ilvl w:val="0"/>
          <w:numId w:val="0"/>
        </w:numPr>
        <w:spacing w:lineRule="exact" w:line="200"/>
        <w:ind w:left="2124" w:hanging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febrilních křečí – </w:t>
      </w:r>
      <w:r>
        <w:rPr>
          <w:b w:val="false"/>
          <w:bCs w:val="false"/>
          <w:sz w:val="18"/>
          <w:szCs w:val="18"/>
          <w:u w:val="none"/>
        </w:rPr>
        <w:t xml:space="preserve">dospělí 5 – 10 mg, děti do 3 let (10 – 15 kg) 5 mg; </w:t>
      </w:r>
    </w:p>
    <w:p>
      <w:pPr>
        <w:pStyle w:val="ListParagraph"/>
        <w:numPr>
          <w:ilvl w:val="0"/>
          <w:numId w:val="0"/>
        </w:numPr>
        <w:spacing w:lineRule="exact" w:line="200"/>
        <w:ind w:left="708" w:hanging="0"/>
        <w:rPr>
          <w:sz w:val="18"/>
          <w:szCs w:val="18"/>
        </w:rPr>
      </w:pPr>
      <w:r>
        <w:rPr>
          <w:b w:val="false"/>
          <w:bCs w:val="false"/>
          <w:sz w:val="18"/>
          <w:szCs w:val="18"/>
          <w:u w:val="none"/>
        </w:rPr>
        <w:t xml:space="preserve">      </w:t>
      </w:r>
      <w:r>
        <w:rPr>
          <w:b w:val="false"/>
          <w:bCs w:val="false"/>
          <w:sz w:val="18"/>
          <w:szCs w:val="18"/>
          <w:u w:val="none"/>
        </w:rPr>
        <w:tab/>
        <w:tab/>
        <w:t xml:space="preserve">děti starší 3 let a více jak 15 kg, 2x 5mg nebo 1x 10 mg, lze opakovat </w:t>
      </w:r>
    </w:p>
    <w:p>
      <w:pPr>
        <w:pStyle w:val="ListParagraph"/>
        <w:numPr>
          <w:ilvl w:val="0"/>
          <w:numId w:val="0"/>
        </w:numPr>
        <w:spacing w:lineRule="exact" w:line="200"/>
        <w:ind w:left="708" w:hanging="0"/>
        <w:rPr>
          <w:sz w:val="18"/>
          <w:szCs w:val="18"/>
        </w:rPr>
      </w:pPr>
      <w:r>
        <w:rPr>
          <w:b w:val="false"/>
          <w:bCs w:val="false"/>
          <w:sz w:val="18"/>
          <w:szCs w:val="18"/>
          <w:u w:val="none"/>
        </w:rPr>
        <w:tab/>
        <w:tab/>
        <w:t>po 3-4 hod</w:t>
      </w:r>
    </w:p>
    <w:p>
      <w:pPr>
        <w:pStyle w:val="ListParagraph"/>
        <w:numPr>
          <w:ilvl w:val="0"/>
          <w:numId w:val="0"/>
        </w:numPr>
        <w:spacing w:lineRule="exact" w:line="200"/>
        <w:ind w:left="708" w:hang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- </w:t>
      </w:r>
      <w:r>
        <w:rPr>
          <w:b/>
          <w:bCs/>
          <w:sz w:val="18"/>
          <w:szCs w:val="18"/>
          <w:u w:val="single"/>
        </w:rPr>
        <w:t>stavy se zvýšením svalového tonu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sz w:val="18"/>
          <w:szCs w:val="18"/>
        </w:rPr>
        <w:t xml:space="preserve">přípravek je vhodný především k akutní klinické intervenci, méně již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sz w:val="18"/>
          <w:szCs w:val="18"/>
        </w:rPr>
        <w:t>k chronické terapii</w:t>
      </w:r>
    </w:p>
    <w:p>
      <w:pPr>
        <w:pStyle w:val="ListParagraph"/>
        <w:numPr>
          <w:ilvl w:val="0"/>
          <w:numId w:val="1"/>
        </w:numPr>
        <w:spacing w:lineRule="exact" w:line="200"/>
        <w:rPr>
          <w:sz w:val="18"/>
          <w:szCs w:val="18"/>
        </w:rPr>
      </w:pPr>
      <w:r>
        <w:rPr>
          <w:b/>
          <w:sz w:val="18"/>
          <w:szCs w:val="18"/>
        </w:rPr>
        <w:t xml:space="preserve">hlavními kontraindikacemi jsou: přecitlivělost na účinnou látku; myasthenia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b/>
          <w:sz w:val="18"/>
          <w:szCs w:val="18"/>
        </w:rPr>
        <w:t xml:space="preserve">gravis, akutní otrava alkoholem nebo analgetiky či psychofarmaky; 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sz w:val="18"/>
          <w:szCs w:val="18"/>
        </w:rPr>
      </w:pPr>
      <w:r>
        <w:rPr>
          <w:b/>
          <w:sz w:val="18"/>
          <w:szCs w:val="18"/>
        </w:rPr>
        <w:t>těžká jaterní a respirační insuficience</w:t>
      </w:r>
    </w:p>
    <w:p>
      <w:pPr>
        <w:pStyle w:val="ListParagraph"/>
        <w:numPr>
          <w:ilvl w:val="0"/>
          <w:numId w:val="0"/>
        </w:numPr>
        <w:spacing w:lineRule="exact" w:line="200"/>
        <w:ind w:left="2148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left" w:pos="2063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6350" distL="114300" distR="114300" simplePos="0" locked="0" layoutInCell="1" allowOverlap="1" relativeHeight="3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0"/>
            <wp:wrapTight wrapText="bothSides">
              <wp:wrapPolygon edited="0">
                <wp:start x="-63" y="0"/>
                <wp:lineTo x="-63" y="21467"/>
                <wp:lineTo x="21501" y="21467"/>
                <wp:lineTo x="21501" y="0"/>
                <wp:lineTo x="-63" y="0"/>
              </wp:wrapPolygon>
            </wp:wrapTight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299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  <w:b w:val="fals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b w:val="false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a05c9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LibreOffice_Vanilla/6.0.4.5$MacOSX_X86_64 LibreOffice_project/6840e4519a6ce8bcc1328eb2d87b5c46c6df1038</Application>
  <Pages>1</Pages>
  <Words>211</Words>
  <Characters>1014</Characters>
  <CharactersWithSpaces>1338</CharactersWithSpaces>
  <Paragraphs>24</Paragraphs>
  <Company>VSZDRAV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2020-03-08T20:02:00Z</dcterms:created>
  <dc:creator>Pekara, Jaroslav</dc:creator>
  <dc:description/>
  <dc:language>cs-CZ</dc:language>
  <cp:lastModifiedBy/>
  <dcterms:modified xsi:type="dcterms:W3CDTF">2020-06-14T15:16:50Z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VSZDRAV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