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0A6" w:rsidRDefault="00722ACB">
      <w:r>
        <w:rPr>
          <w:noProof/>
        </w:rPr>
        <w:drawing>
          <wp:anchor distT="0" distB="3810" distL="114300" distR="123190" simplePos="0" relativeHeight="2" behindDoc="1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-160020</wp:posOffset>
            </wp:positionV>
            <wp:extent cx="4886325" cy="428244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0A6" w:rsidRDefault="00722ACB">
      <w:pPr>
        <w:spacing w:line="300" w:lineRule="exact"/>
      </w:pPr>
      <w:r>
        <w:t xml:space="preserve">                                            </w:t>
      </w:r>
      <w:r>
        <w:rPr>
          <w:b/>
          <w:sz w:val="32"/>
        </w:rPr>
        <w:t>TRAMAL 100 mg/2 ml, injekční roztok</w:t>
      </w:r>
    </w:p>
    <w:p w:rsidR="00C050A6" w:rsidRDefault="00722ACB">
      <w:pPr>
        <w:spacing w:line="300" w:lineRule="exact"/>
      </w:pPr>
      <w:r>
        <w:rPr>
          <w:b/>
          <w:sz w:val="32"/>
        </w:rPr>
        <w:t xml:space="preserve">                                       (</w:t>
      </w:r>
      <w:proofErr w:type="spellStart"/>
      <w:r>
        <w:rPr>
          <w:b/>
          <w:i/>
          <w:iCs/>
          <w:sz w:val="32"/>
        </w:rPr>
        <w:t>tramadoli</w:t>
      </w:r>
      <w:proofErr w:type="spellEnd"/>
      <w:r>
        <w:rPr>
          <w:b/>
          <w:i/>
          <w:iCs/>
          <w:sz w:val="32"/>
        </w:rPr>
        <w:t xml:space="preserve"> </w:t>
      </w:r>
      <w:proofErr w:type="spellStart"/>
      <w:r>
        <w:rPr>
          <w:b/>
          <w:i/>
          <w:iCs/>
          <w:sz w:val="32"/>
        </w:rPr>
        <w:t>hydrochloridum</w:t>
      </w:r>
      <w:proofErr w:type="spellEnd"/>
      <w:r>
        <w:rPr>
          <w:b/>
          <w:i/>
          <w:iCs/>
          <w:sz w:val="32"/>
        </w:rPr>
        <w:t>)</w:t>
      </w:r>
    </w:p>
    <w:p w:rsidR="00C050A6" w:rsidRDefault="00C050A6">
      <w:pPr>
        <w:spacing w:line="300" w:lineRule="exact"/>
      </w:pPr>
    </w:p>
    <w:p w:rsidR="00C050A6" w:rsidRDefault="00722ACB">
      <w:pPr>
        <w:pStyle w:val="Odstavecseseznamem"/>
        <w:numPr>
          <w:ilvl w:val="0"/>
          <w:numId w:val="1"/>
        </w:numPr>
        <w:spacing w:line="200" w:lineRule="exact"/>
      </w:pPr>
      <w:proofErr w:type="spellStart"/>
      <w:r>
        <w:rPr>
          <w:sz w:val="20"/>
        </w:rPr>
        <w:t>Tramadol</w:t>
      </w:r>
      <w:proofErr w:type="spellEnd"/>
      <w:r>
        <w:rPr>
          <w:sz w:val="20"/>
        </w:rPr>
        <w:t xml:space="preserve"> je centrálně působící </w:t>
      </w:r>
      <w:proofErr w:type="spellStart"/>
      <w:r>
        <w:rPr>
          <w:b/>
          <w:bCs/>
          <w:sz w:val="20"/>
        </w:rPr>
        <w:t>opioidní</w:t>
      </w:r>
      <w:proofErr w:type="spellEnd"/>
      <w:r>
        <w:rPr>
          <w:b/>
          <w:bCs/>
          <w:sz w:val="20"/>
        </w:rPr>
        <w:t xml:space="preserve"> analgetikum</w:t>
      </w:r>
      <w:r>
        <w:rPr>
          <w:sz w:val="20"/>
        </w:rPr>
        <w:t xml:space="preserve">; neselektivní čistý agonista </w:t>
      </w:r>
    </w:p>
    <w:p w:rsidR="00C050A6" w:rsidRDefault="00722ACB">
      <w:pPr>
        <w:pStyle w:val="Odstavecseseznamem"/>
        <w:spacing w:line="200" w:lineRule="exact"/>
        <w:ind w:left="2148"/>
      </w:pPr>
      <w:proofErr w:type="spellStart"/>
      <w:r>
        <w:rPr>
          <w:sz w:val="20"/>
        </w:rPr>
        <w:t>opioidních</w:t>
      </w:r>
      <w:proofErr w:type="spellEnd"/>
      <w:r>
        <w:rPr>
          <w:sz w:val="20"/>
        </w:rPr>
        <w:t xml:space="preserve"> receptorů; má</w:t>
      </w:r>
      <w:r>
        <w:rPr>
          <w:sz w:val="20"/>
        </w:rPr>
        <w:t xml:space="preserve"> antitusický </w:t>
      </w:r>
      <w:proofErr w:type="gramStart"/>
      <w:r>
        <w:rPr>
          <w:sz w:val="20"/>
        </w:rPr>
        <w:t>účinek,  nepůsobí</w:t>
      </w:r>
      <w:proofErr w:type="gramEnd"/>
      <w:r>
        <w:rPr>
          <w:sz w:val="20"/>
        </w:rPr>
        <w:t xml:space="preserve"> útlum dechového </w:t>
      </w:r>
      <w:r>
        <w:rPr>
          <w:sz w:val="20"/>
        </w:rPr>
        <w:br/>
      </w:r>
      <w:r>
        <w:rPr>
          <w:sz w:val="20"/>
        </w:rPr>
        <w:t>centra</w:t>
      </w:r>
    </w:p>
    <w:p w:rsidR="00C050A6" w:rsidRDefault="00722ACB">
      <w:pPr>
        <w:pStyle w:val="Odstavecseseznamem"/>
        <w:numPr>
          <w:ilvl w:val="0"/>
          <w:numId w:val="1"/>
        </w:numPr>
        <w:spacing w:line="200" w:lineRule="exact"/>
      </w:pPr>
      <w:r>
        <w:rPr>
          <w:b/>
          <w:bCs/>
          <w:sz w:val="20"/>
        </w:rPr>
        <w:t>Terapeutické indikace: léčba středně silné až silné bolesti</w:t>
      </w:r>
    </w:p>
    <w:p w:rsidR="00C050A6" w:rsidRDefault="00722ACB">
      <w:pPr>
        <w:pStyle w:val="Odstavecseseznamem"/>
        <w:numPr>
          <w:ilvl w:val="0"/>
          <w:numId w:val="1"/>
        </w:numPr>
        <w:spacing w:line="200" w:lineRule="exact"/>
      </w:pPr>
      <w:r>
        <w:rPr>
          <w:sz w:val="20"/>
        </w:rPr>
        <w:t xml:space="preserve">u pediatrických pacientů starších 1 roku byla farmakodynamika a farmakokinetika </w:t>
      </w:r>
    </w:p>
    <w:p w:rsidR="00C050A6" w:rsidRDefault="00722ACB">
      <w:pPr>
        <w:pStyle w:val="Odstavecseseznamem"/>
        <w:spacing w:line="200" w:lineRule="exact"/>
        <w:ind w:left="2148"/>
      </w:pPr>
      <w:proofErr w:type="spellStart"/>
      <w:r>
        <w:rPr>
          <w:sz w:val="20"/>
        </w:rPr>
        <w:t>shledáná</w:t>
      </w:r>
      <w:proofErr w:type="spellEnd"/>
      <w:r>
        <w:rPr>
          <w:sz w:val="20"/>
        </w:rPr>
        <w:t xml:space="preserve"> obecně podobná jako u dospělých</w:t>
      </w:r>
    </w:p>
    <w:p w:rsidR="00C050A6" w:rsidRDefault="00722ACB">
      <w:pPr>
        <w:pStyle w:val="Odstavecseseznamem"/>
        <w:numPr>
          <w:ilvl w:val="0"/>
          <w:numId w:val="1"/>
        </w:numPr>
        <w:spacing w:line="200" w:lineRule="exact"/>
      </w:pPr>
      <w:r>
        <w:rPr>
          <w:sz w:val="20"/>
        </w:rPr>
        <w:t>Dávkování:</w:t>
      </w:r>
    </w:p>
    <w:p w:rsidR="00C050A6" w:rsidRDefault="00722ACB">
      <w:pPr>
        <w:pStyle w:val="Odstavecseseznamem"/>
        <w:spacing w:line="200" w:lineRule="exact"/>
        <w:ind w:left="2868"/>
      </w:pPr>
      <w:r>
        <w:rPr>
          <w:sz w:val="20"/>
        </w:rPr>
        <w:t>- dospělí</w:t>
      </w:r>
      <w:r>
        <w:rPr>
          <w:sz w:val="20"/>
        </w:rPr>
        <w:t xml:space="preserve"> a dospívající od 12 let – 50-100 mg po 4–6 hod</w:t>
      </w:r>
    </w:p>
    <w:p w:rsidR="00C050A6" w:rsidRDefault="00722ACB">
      <w:pPr>
        <w:pStyle w:val="Odstavecseseznamem"/>
        <w:spacing w:line="200" w:lineRule="exact"/>
        <w:ind w:left="2868"/>
      </w:pPr>
      <w:r>
        <w:rPr>
          <w:sz w:val="20"/>
        </w:rPr>
        <w:t>- děti od 1 roku věku jednotlivá dávka 1-2 mg/kg, nesmí být</w:t>
      </w:r>
      <w:r>
        <w:rPr>
          <w:sz w:val="20"/>
        </w:rPr>
        <w:br/>
      </w:r>
      <w:r>
        <w:rPr>
          <w:sz w:val="20"/>
        </w:rPr>
        <w:t xml:space="preserve"> překročena </w:t>
      </w:r>
      <w:bookmarkStart w:id="0" w:name="_GoBack"/>
      <w:bookmarkEnd w:id="0"/>
      <w:r>
        <w:rPr>
          <w:sz w:val="20"/>
        </w:rPr>
        <w:t xml:space="preserve">denní dávka 8 mg/kg, maximálně 400 mg </w:t>
      </w:r>
    </w:p>
    <w:p w:rsidR="00C050A6" w:rsidRDefault="00722ACB">
      <w:pPr>
        <w:pStyle w:val="Odstavecseseznamem"/>
        <w:spacing w:line="200" w:lineRule="exact"/>
        <w:ind w:left="2868"/>
      </w:pPr>
      <w:r>
        <w:rPr>
          <w:sz w:val="20"/>
        </w:rPr>
        <w:t xml:space="preserve">- starší pacienti – u pacientů starších 75 let může být eliminace </w:t>
      </w:r>
    </w:p>
    <w:p w:rsidR="00C050A6" w:rsidRDefault="00722ACB">
      <w:pPr>
        <w:pStyle w:val="Odstavecseseznamem"/>
        <w:spacing w:line="200" w:lineRule="exact"/>
        <w:ind w:left="2868"/>
      </w:pPr>
      <w:r>
        <w:rPr>
          <w:sz w:val="20"/>
        </w:rPr>
        <w:t>prodloužena (prodloužení dávko</w:t>
      </w:r>
      <w:r>
        <w:rPr>
          <w:sz w:val="20"/>
        </w:rPr>
        <w:t>vacího intervalu)</w:t>
      </w:r>
    </w:p>
    <w:p w:rsidR="00C050A6" w:rsidRDefault="00C050A6">
      <w:pPr>
        <w:pStyle w:val="Odstavecseseznamem"/>
        <w:spacing w:line="200" w:lineRule="exact"/>
        <w:ind w:left="2148"/>
        <w:rPr>
          <w:b/>
          <w:sz w:val="20"/>
        </w:rPr>
      </w:pPr>
    </w:p>
    <w:p w:rsidR="00C050A6" w:rsidRDefault="00722ACB">
      <w:pPr>
        <w:pStyle w:val="Odstavecseseznamem"/>
        <w:numPr>
          <w:ilvl w:val="0"/>
          <w:numId w:val="1"/>
        </w:numPr>
        <w:spacing w:line="200" w:lineRule="exact"/>
      </w:pPr>
      <w:r>
        <w:rPr>
          <w:b/>
          <w:sz w:val="20"/>
        </w:rPr>
        <w:t xml:space="preserve">hlavními kontraindikacemi jsou: přecitlivělost na účinnou látku; akutní otrava </w:t>
      </w:r>
    </w:p>
    <w:p w:rsidR="00C050A6" w:rsidRDefault="00722ACB">
      <w:pPr>
        <w:pStyle w:val="Odstavecseseznamem"/>
        <w:spacing w:line="200" w:lineRule="exact"/>
        <w:ind w:left="2148"/>
      </w:pPr>
      <w:r>
        <w:rPr>
          <w:b/>
          <w:sz w:val="20"/>
        </w:rPr>
        <w:t xml:space="preserve">alkoholem nebo jinými psychotropními přípravky, pacienti s epilepsií </w:t>
      </w:r>
    </w:p>
    <w:p w:rsidR="00C050A6" w:rsidRDefault="00722ACB">
      <w:pPr>
        <w:pStyle w:val="Odstavecseseznamem"/>
        <w:spacing w:line="200" w:lineRule="exact"/>
        <w:ind w:left="2148"/>
      </w:pPr>
      <w:r>
        <w:rPr>
          <w:b/>
          <w:sz w:val="20"/>
        </w:rPr>
        <w:t xml:space="preserve">nedostatečně kontrolovanou léčbou; pacienti užívající inhibitory MAO </w:t>
      </w:r>
      <w:r>
        <w:rPr>
          <w:b/>
          <w:sz w:val="20"/>
        </w:rPr>
        <w:br/>
      </w:r>
      <w:r>
        <w:rPr>
          <w:b/>
          <w:sz w:val="20"/>
        </w:rPr>
        <w:t xml:space="preserve">(nebo </w:t>
      </w:r>
      <w:r>
        <w:rPr>
          <w:b/>
          <w:sz w:val="20"/>
        </w:rPr>
        <w:t>během posle</w:t>
      </w:r>
      <w:r>
        <w:rPr>
          <w:b/>
          <w:sz w:val="20"/>
        </w:rPr>
        <w:t>dních 2 týdnů); substituční léčba drogové závislosti</w:t>
      </w:r>
    </w:p>
    <w:p w:rsidR="00C050A6" w:rsidRDefault="00C050A6">
      <w:pPr>
        <w:pStyle w:val="Odstavecseseznamem"/>
        <w:spacing w:line="200" w:lineRule="exact"/>
        <w:ind w:left="2148"/>
        <w:rPr>
          <w:b/>
          <w:sz w:val="20"/>
        </w:rPr>
      </w:pPr>
    </w:p>
    <w:p w:rsidR="00C050A6" w:rsidRDefault="00C050A6">
      <w:pPr>
        <w:pStyle w:val="Odstavecseseznamem"/>
        <w:spacing w:line="200" w:lineRule="exact"/>
        <w:ind w:left="2148"/>
        <w:rPr>
          <w:b/>
          <w:sz w:val="20"/>
        </w:rPr>
      </w:pPr>
    </w:p>
    <w:p w:rsidR="00C050A6" w:rsidRDefault="00C050A6">
      <w:pPr>
        <w:tabs>
          <w:tab w:val="left" w:pos="2063"/>
        </w:tabs>
      </w:pPr>
    </w:p>
    <w:p w:rsidR="00C050A6" w:rsidRDefault="00C050A6"/>
    <w:p w:rsidR="00C050A6" w:rsidRDefault="00C050A6"/>
    <w:p w:rsidR="00C050A6" w:rsidRDefault="00C050A6"/>
    <w:p w:rsidR="00C050A6" w:rsidRDefault="00C050A6"/>
    <w:p w:rsidR="00C050A6" w:rsidRDefault="00722ACB">
      <w:r>
        <w:rPr>
          <w:noProof/>
        </w:rPr>
        <w:lastRenderedPageBreak/>
        <w:drawing>
          <wp:anchor distT="0" distB="6350" distL="114300" distR="114300" simplePos="0" relativeHeight="3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83185</wp:posOffset>
            </wp:positionV>
            <wp:extent cx="4953635" cy="4279900"/>
            <wp:effectExtent l="0" t="0" r="0" b="0"/>
            <wp:wrapTight wrapText="bothSides">
              <wp:wrapPolygon edited="0">
                <wp:start x="-63" y="0"/>
                <wp:lineTo x="-63" y="21467"/>
                <wp:lineTo x="21501" y="21467"/>
                <wp:lineTo x="21501" y="0"/>
                <wp:lineTo x="-63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p w:rsidR="00C050A6" w:rsidRDefault="00C050A6"/>
    <w:sectPr w:rsidR="00C050A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D4C7D"/>
    <w:multiLevelType w:val="multilevel"/>
    <w:tmpl w:val="3FD09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185191"/>
    <w:multiLevelType w:val="multilevel"/>
    <w:tmpl w:val="D1F689E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A6"/>
    <w:rsid w:val="00722ACB"/>
    <w:rsid w:val="00C0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AA31"/>
  <w15:docId w15:val="{AD8BC949-81DE-44E4-AC2D-9446680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b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939</Characters>
  <Application>Microsoft Office Word</Application>
  <DocSecurity>0</DocSecurity>
  <Lines>7</Lines>
  <Paragraphs>2</Paragraphs>
  <ScaleCrop>false</ScaleCrop>
  <Company>VSZDRAV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dc:description/>
  <cp:lastModifiedBy>Pekara, Jaroslav</cp:lastModifiedBy>
  <cp:revision>8</cp:revision>
  <dcterms:created xsi:type="dcterms:W3CDTF">2020-03-08T20:02:00Z</dcterms:created>
  <dcterms:modified xsi:type="dcterms:W3CDTF">2021-02-22T13:42:00Z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VSZDRAV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