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165" w:rsidRDefault="00622165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704" cy="42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C94" w:rsidRDefault="0024604E" w:rsidP="00E43D08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>Ibalgin</w:t>
      </w:r>
      <w:r w:rsidR="00E43D08">
        <w:rPr>
          <w:b/>
          <w:noProof/>
          <w:sz w:val="32"/>
        </w:rPr>
        <w:t xml:space="preserve"> tbl. 400mg</w:t>
      </w:r>
      <w:r>
        <w:rPr>
          <w:b/>
          <w:noProof/>
          <w:sz w:val="32"/>
        </w:rPr>
        <w:t xml:space="preserve"> (ibuprofenum)</w:t>
      </w:r>
    </w:p>
    <w:p w:rsidR="00A04702" w:rsidRPr="00A05C94" w:rsidRDefault="00A04702" w:rsidP="00A05C94"/>
    <w:p w:rsidR="00A05C94" w:rsidRPr="0024604E" w:rsidRDefault="0024604E" w:rsidP="00A05C94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 w:rsidRPr="0024604E">
        <w:rPr>
          <w:sz w:val="20"/>
        </w:rPr>
        <w:t>patří do skupiny nesteroidních protizánětlivých léčiv (NASAID)</w:t>
      </w:r>
    </w:p>
    <w:p w:rsidR="00A05C94" w:rsidRPr="00E43D08" w:rsidRDefault="00A05C94" w:rsidP="00E43D08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 w:rsidRPr="00A04702">
        <w:rPr>
          <w:b/>
          <w:sz w:val="20"/>
        </w:rPr>
        <w:t>terapeutické indikace</w:t>
      </w:r>
      <w:r w:rsidRPr="00A04702">
        <w:rPr>
          <w:sz w:val="20"/>
        </w:rPr>
        <w:t xml:space="preserve"> </w:t>
      </w:r>
      <w:r w:rsidR="00E43D08">
        <w:rPr>
          <w:sz w:val="20"/>
        </w:rPr>
        <w:t>zmírňuje bolest a zánět různého původu, tlumí horečku.</w:t>
      </w:r>
    </w:p>
    <w:p w:rsidR="00E43D08" w:rsidRDefault="00E43D08" w:rsidP="00E43D08">
      <w:pPr>
        <w:pStyle w:val="Odstavecseseznamem"/>
        <w:spacing w:line="360" w:lineRule="auto"/>
        <w:ind w:left="1428"/>
        <w:rPr>
          <w:sz w:val="20"/>
        </w:rPr>
      </w:pPr>
      <w:r w:rsidRPr="00E43D08">
        <w:rPr>
          <w:sz w:val="20"/>
        </w:rPr>
        <w:t>Přípravek je vzhledem k množství léčivé látky</w:t>
      </w:r>
      <w:r>
        <w:rPr>
          <w:sz w:val="20"/>
        </w:rPr>
        <w:t xml:space="preserve"> v jedné tabletě</w:t>
      </w:r>
      <w:r w:rsidR="002012A0">
        <w:rPr>
          <w:sz w:val="20"/>
        </w:rPr>
        <w:t>,</w:t>
      </w:r>
      <w:r>
        <w:rPr>
          <w:sz w:val="20"/>
        </w:rPr>
        <w:t xml:space="preserve"> je určen pro</w:t>
      </w:r>
    </w:p>
    <w:p w:rsidR="00E43D08" w:rsidRPr="00E43D08" w:rsidRDefault="005C4664" w:rsidP="00E43D08">
      <w:pPr>
        <w:pStyle w:val="Odstavecseseznamem"/>
        <w:spacing w:line="360" w:lineRule="auto"/>
        <w:ind w:left="1428"/>
        <w:rPr>
          <w:sz w:val="20"/>
        </w:rPr>
      </w:pPr>
      <w:r>
        <w:rPr>
          <w:sz w:val="20"/>
        </w:rPr>
        <w:t>d</w:t>
      </w:r>
      <w:r w:rsidR="00E43D08">
        <w:rPr>
          <w:sz w:val="20"/>
        </w:rPr>
        <w:t xml:space="preserve">ospělé </w:t>
      </w:r>
      <w:r>
        <w:rPr>
          <w:sz w:val="20"/>
        </w:rPr>
        <w:t>a dospívající nad 12 let.</w:t>
      </w:r>
    </w:p>
    <w:p w:rsidR="00622165" w:rsidRPr="005C4664" w:rsidRDefault="00A57656" w:rsidP="005C4664">
      <w:pPr>
        <w:pStyle w:val="Odstavecseseznamem"/>
        <w:numPr>
          <w:ilvl w:val="0"/>
          <w:numId w:val="1"/>
        </w:numPr>
        <w:spacing w:line="360" w:lineRule="auto"/>
      </w:pPr>
      <w:r>
        <w:rPr>
          <w:b/>
          <w:sz w:val="20"/>
        </w:rPr>
        <w:t>h</w:t>
      </w:r>
      <w:r w:rsidR="00A05C94" w:rsidRPr="00A04702">
        <w:rPr>
          <w:b/>
          <w:sz w:val="20"/>
        </w:rPr>
        <w:t>lavními kontraindikacemi jsou</w:t>
      </w:r>
      <w:r w:rsidR="005C4664">
        <w:rPr>
          <w:b/>
          <w:sz w:val="20"/>
        </w:rPr>
        <w:t xml:space="preserve">: </w:t>
      </w:r>
      <w:r w:rsidR="005C4664">
        <w:rPr>
          <w:sz w:val="20"/>
        </w:rPr>
        <w:t xml:space="preserve">alergie na ibuprofen, alergie na kyselinu </w:t>
      </w:r>
    </w:p>
    <w:p w:rsidR="005C4664" w:rsidRDefault="005C4664" w:rsidP="005C4664">
      <w:pPr>
        <w:pStyle w:val="Odstavecseseznamem"/>
        <w:spacing w:line="360" w:lineRule="auto"/>
        <w:ind w:left="1428"/>
        <w:rPr>
          <w:sz w:val="20"/>
        </w:rPr>
      </w:pPr>
      <w:r>
        <w:rPr>
          <w:sz w:val="20"/>
        </w:rPr>
        <w:t>acetylsalicylovou nebo některé jiné nesteroidní protizánětlivé léky.</w:t>
      </w:r>
    </w:p>
    <w:p w:rsidR="005C4664" w:rsidRDefault="005C4664" w:rsidP="005C4664">
      <w:pPr>
        <w:pStyle w:val="Odstavecseseznamem"/>
        <w:spacing w:line="360" w:lineRule="auto"/>
        <w:ind w:left="1428"/>
        <w:rPr>
          <w:sz w:val="20"/>
        </w:rPr>
      </w:pPr>
      <w:r>
        <w:rPr>
          <w:sz w:val="20"/>
        </w:rPr>
        <w:t>Aktivní nebo opakující se vřed nebo krvácení do žaludku nebo dvanáctníku.</w:t>
      </w:r>
    </w:p>
    <w:p w:rsidR="005C4664" w:rsidRDefault="005C4664" w:rsidP="005C4664">
      <w:pPr>
        <w:pStyle w:val="Odstavecseseznamem"/>
        <w:spacing w:line="360" w:lineRule="auto"/>
        <w:ind w:left="1428"/>
        <w:rPr>
          <w:sz w:val="20"/>
        </w:rPr>
      </w:pPr>
      <w:r>
        <w:rPr>
          <w:sz w:val="20"/>
        </w:rPr>
        <w:t>Porucha krve tvorby nebo krevní srážlivosti. Závažné srdeční selhání</w:t>
      </w:r>
    </w:p>
    <w:p w:rsidR="005C4664" w:rsidRPr="005C4664" w:rsidRDefault="005C4664" w:rsidP="005C4664">
      <w:pPr>
        <w:pStyle w:val="Odstavecseseznamem"/>
        <w:spacing w:line="360" w:lineRule="auto"/>
        <w:ind w:left="1428"/>
      </w:pPr>
      <w:r>
        <w:rPr>
          <w:sz w:val="20"/>
        </w:rPr>
        <w:t xml:space="preserve"> </w:t>
      </w:r>
    </w:p>
    <w:p w:rsidR="00622165" w:rsidRDefault="00622165"/>
    <w:p w:rsidR="006549A6" w:rsidRDefault="002D2136"/>
    <w:p w:rsidR="00622165" w:rsidRDefault="00622165"/>
    <w:p w:rsidR="00622165" w:rsidRDefault="00622165"/>
    <w:p w:rsidR="00622165" w:rsidRDefault="005C4664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C6714AC" wp14:editId="0990DE7C">
            <wp:simplePos x="0" y="0"/>
            <wp:positionH relativeFrom="margin">
              <wp:posOffset>214630</wp:posOffset>
            </wp:positionH>
            <wp:positionV relativeFrom="paragraph">
              <wp:posOffset>9525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5C4664" w:rsidRDefault="005C4664"/>
    <w:p w:rsidR="005C4664" w:rsidRDefault="005C4664"/>
    <w:p w:rsidR="005C4664" w:rsidRDefault="005C4664"/>
    <w:p w:rsidR="005C4664" w:rsidRDefault="005C4664"/>
    <w:p w:rsidR="005C4664" w:rsidRDefault="005C4664"/>
    <w:p w:rsidR="005C4664" w:rsidRDefault="00BE3213" w:rsidP="005C4664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3153354E" wp14:editId="6030AE07">
            <wp:simplePos x="0" y="0"/>
            <wp:positionH relativeFrom="margin">
              <wp:align>center</wp:align>
            </wp:positionH>
            <wp:positionV relativeFrom="paragraph">
              <wp:posOffset>71755</wp:posOffset>
            </wp:positionV>
            <wp:extent cx="4886325" cy="4282440"/>
            <wp:effectExtent l="0" t="0" r="9525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664" w:rsidRPr="00BE3213" w:rsidRDefault="009207BD" w:rsidP="005C4664">
      <w:pPr>
        <w:jc w:val="center"/>
        <w:rPr>
          <w:b/>
          <w:noProof/>
          <w:sz w:val="32"/>
          <w:szCs w:val="32"/>
        </w:rPr>
      </w:pPr>
      <w:r w:rsidRPr="00BE3213">
        <w:rPr>
          <w:b/>
          <w:color w:val="000000"/>
          <w:sz w:val="32"/>
          <w:szCs w:val="32"/>
        </w:rPr>
        <w:t>Atropin (</w:t>
      </w:r>
      <w:proofErr w:type="spellStart"/>
      <w:r w:rsidRPr="00BE3213">
        <w:rPr>
          <w:b/>
          <w:color w:val="000000"/>
          <w:sz w:val="32"/>
          <w:szCs w:val="32"/>
        </w:rPr>
        <w:t>atropini</w:t>
      </w:r>
      <w:proofErr w:type="spellEnd"/>
      <w:r w:rsidRPr="00BE3213">
        <w:rPr>
          <w:b/>
          <w:color w:val="000000"/>
          <w:sz w:val="32"/>
          <w:szCs w:val="32"/>
        </w:rPr>
        <w:t xml:space="preserve"> </w:t>
      </w:r>
      <w:proofErr w:type="spellStart"/>
      <w:r w:rsidRPr="00BE3213">
        <w:rPr>
          <w:b/>
          <w:color w:val="000000"/>
          <w:sz w:val="32"/>
          <w:szCs w:val="32"/>
        </w:rPr>
        <w:t>sulfas</w:t>
      </w:r>
      <w:proofErr w:type="spellEnd"/>
      <w:r w:rsidRPr="00BE3213">
        <w:rPr>
          <w:b/>
          <w:color w:val="000000"/>
          <w:sz w:val="32"/>
          <w:szCs w:val="32"/>
        </w:rPr>
        <w:t xml:space="preserve"> </w:t>
      </w:r>
      <w:proofErr w:type="spellStart"/>
      <w:r w:rsidRPr="00BE3213">
        <w:rPr>
          <w:b/>
          <w:color w:val="000000"/>
          <w:sz w:val="32"/>
          <w:szCs w:val="32"/>
        </w:rPr>
        <w:t>monohydricus</w:t>
      </w:r>
      <w:proofErr w:type="spellEnd"/>
      <w:r w:rsidR="00BE3213" w:rsidRPr="00BE3213">
        <w:rPr>
          <w:b/>
          <w:color w:val="000000"/>
          <w:sz w:val="32"/>
          <w:szCs w:val="32"/>
        </w:rPr>
        <w:t>)</w:t>
      </w:r>
      <w:r w:rsidRPr="00BE3213">
        <w:rPr>
          <w:b/>
          <w:color w:val="000000"/>
          <w:sz w:val="32"/>
          <w:szCs w:val="32"/>
        </w:rPr>
        <w:t xml:space="preserve"> </w:t>
      </w:r>
    </w:p>
    <w:p w:rsidR="005C4664" w:rsidRPr="00A05C94" w:rsidRDefault="005C4664" w:rsidP="005C4664"/>
    <w:p w:rsidR="009207BD" w:rsidRPr="009207BD" w:rsidRDefault="009207BD" w:rsidP="005C4664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 w:rsidRPr="009207BD">
        <w:rPr>
          <w:color w:val="000000"/>
          <w:sz w:val="20"/>
          <w:szCs w:val="20"/>
        </w:rPr>
        <w:t>(</w:t>
      </w:r>
      <w:proofErr w:type="spellStart"/>
      <w:r w:rsidRPr="009207BD">
        <w:rPr>
          <w:color w:val="000000"/>
          <w:sz w:val="20"/>
          <w:szCs w:val="20"/>
        </w:rPr>
        <w:t>parasympatolytikum</w:t>
      </w:r>
      <w:proofErr w:type="spellEnd"/>
      <w:r w:rsidRPr="009207BD">
        <w:rPr>
          <w:color w:val="000000"/>
          <w:sz w:val="20"/>
          <w:szCs w:val="20"/>
        </w:rPr>
        <w:t xml:space="preserve">) snižuje sekreci slinných, potních, žaludečních žláz </w:t>
      </w:r>
    </w:p>
    <w:p w:rsidR="00BE3213" w:rsidRDefault="009207BD" w:rsidP="009207BD">
      <w:pPr>
        <w:pStyle w:val="Odstavecseseznamem"/>
        <w:spacing w:line="360" w:lineRule="auto"/>
        <w:ind w:left="1428"/>
        <w:rPr>
          <w:color w:val="000000"/>
          <w:sz w:val="20"/>
          <w:szCs w:val="20"/>
        </w:rPr>
      </w:pPr>
      <w:r w:rsidRPr="009207BD">
        <w:rPr>
          <w:color w:val="000000"/>
          <w:sz w:val="20"/>
          <w:szCs w:val="20"/>
        </w:rPr>
        <w:t>a žláz dýchacího systému</w:t>
      </w:r>
      <w:r>
        <w:rPr>
          <w:color w:val="000000"/>
          <w:sz w:val="20"/>
          <w:szCs w:val="20"/>
        </w:rPr>
        <w:t>.</w:t>
      </w:r>
      <w:r w:rsidR="00BE3213">
        <w:rPr>
          <w:color w:val="000000"/>
          <w:sz w:val="20"/>
          <w:szCs w:val="20"/>
        </w:rPr>
        <w:t xml:space="preserve"> </w:t>
      </w:r>
      <w:r w:rsidR="002012A0">
        <w:rPr>
          <w:color w:val="000000"/>
          <w:sz w:val="20"/>
          <w:szCs w:val="20"/>
        </w:rPr>
        <w:t>P</w:t>
      </w:r>
      <w:r w:rsidR="00BE3213" w:rsidRPr="00BE3213">
        <w:rPr>
          <w:color w:val="000000"/>
          <w:sz w:val="20"/>
          <w:szCs w:val="20"/>
        </w:rPr>
        <w:t xml:space="preserve">oužívá jako </w:t>
      </w:r>
      <w:proofErr w:type="spellStart"/>
      <w:r w:rsidR="00BE3213" w:rsidRPr="00BE3213">
        <w:rPr>
          <w:color w:val="000000"/>
          <w:sz w:val="20"/>
          <w:szCs w:val="20"/>
        </w:rPr>
        <w:t>antidotum</w:t>
      </w:r>
      <w:proofErr w:type="spellEnd"/>
      <w:r w:rsidR="00BE3213" w:rsidRPr="00BE3213">
        <w:rPr>
          <w:color w:val="000000"/>
          <w:sz w:val="20"/>
          <w:szCs w:val="20"/>
        </w:rPr>
        <w:t xml:space="preserve"> při otravě inhibitory</w:t>
      </w:r>
    </w:p>
    <w:p w:rsidR="009207BD" w:rsidRDefault="00BE3213" w:rsidP="00BE3213">
      <w:pPr>
        <w:pStyle w:val="Odstavecseseznamem"/>
        <w:spacing w:line="360" w:lineRule="auto"/>
        <w:ind w:left="1428"/>
        <w:rPr>
          <w:b/>
          <w:sz w:val="20"/>
        </w:rPr>
      </w:pP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acetylcholinesterázy</w:t>
      </w:r>
      <w:proofErr w:type="spellEnd"/>
      <w:r>
        <w:rPr>
          <w:color w:val="000000"/>
          <w:sz w:val="20"/>
          <w:szCs w:val="20"/>
        </w:rPr>
        <w:t>.</w:t>
      </w:r>
      <w:r w:rsidRPr="00BE3213">
        <w:rPr>
          <w:color w:val="000000"/>
          <w:sz w:val="20"/>
          <w:szCs w:val="20"/>
        </w:rPr>
        <w:t xml:space="preserve"> </w:t>
      </w:r>
    </w:p>
    <w:p w:rsidR="00BE3213" w:rsidRDefault="005C4664" w:rsidP="00BE3213">
      <w:pPr>
        <w:pStyle w:val="Odstavecseseznamem"/>
        <w:spacing w:line="360" w:lineRule="auto"/>
        <w:ind w:left="1428"/>
        <w:rPr>
          <w:color w:val="000000"/>
          <w:sz w:val="20"/>
          <w:szCs w:val="20"/>
        </w:rPr>
      </w:pPr>
      <w:r w:rsidRPr="00A04702">
        <w:rPr>
          <w:b/>
          <w:sz w:val="20"/>
        </w:rPr>
        <w:t>terapeutické indikace</w:t>
      </w:r>
      <w:r w:rsidRPr="00A04702">
        <w:rPr>
          <w:sz w:val="20"/>
        </w:rPr>
        <w:t xml:space="preserve"> </w:t>
      </w:r>
      <w:r w:rsidR="00BE3213" w:rsidRPr="00BE3213">
        <w:rPr>
          <w:color w:val="000000"/>
          <w:sz w:val="20"/>
          <w:szCs w:val="20"/>
        </w:rPr>
        <w:t xml:space="preserve">při akutním infarktu ke zvládnutí </w:t>
      </w:r>
    </w:p>
    <w:p w:rsidR="00BE3213" w:rsidRDefault="00BE3213" w:rsidP="00BE3213">
      <w:pPr>
        <w:pStyle w:val="Odstavecseseznamem"/>
        <w:spacing w:line="360" w:lineRule="auto"/>
        <w:ind w:left="1428"/>
        <w:rPr>
          <w:color w:val="000000"/>
          <w:sz w:val="20"/>
          <w:szCs w:val="20"/>
        </w:rPr>
      </w:pPr>
      <w:r w:rsidRPr="00BE3213">
        <w:rPr>
          <w:color w:val="000000"/>
          <w:sz w:val="20"/>
          <w:szCs w:val="20"/>
        </w:rPr>
        <w:t xml:space="preserve">bradykardicko-hypotenzního syndromu, fibrilace a </w:t>
      </w:r>
      <w:proofErr w:type="spellStart"/>
      <w:r w:rsidRPr="00BE3213">
        <w:rPr>
          <w:color w:val="000000"/>
          <w:sz w:val="20"/>
          <w:szCs w:val="20"/>
        </w:rPr>
        <w:t>fluttru</w:t>
      </w:r>
      <w:proofErr w:type="spellEnd"/>
      <w:r w:rsidRPr="00BE3213">
        <w:rPr>
          <w:color w:val="000000"/>
          <w:sz w:val="20"/>
          <w:szCs w:val="20"/>
        </w:rPr>
        <w:t xml:space="preserve"> síní s pomalou </w:t>
      </w:r>
    </w:p>
    <w:p w:rsidR="00BE3213" w:rsidRDefault="00BE3213" w:rsidP="00BE3213">
      <w:pPr>
        <w:pStyle w:val="Odstavecseseznamem"/>
        <w:spacing w:line="360" w:lineRule="auto"/>
        <w:ind w:left="1428"/>
        <w:rPr>
          <w:color w:val="000000"/>
          <w:sz w:val="20"/>
          <w:szCs w:val="20"/>
        </w:rPr>
      </w:pPr>
      <w:r w:rsidRPr="00BE3213">
        <w:rPr>
          <w:color w:val="000000"/>
          <w:sz w:val="20"/>
          <w:szCs w:val="20"/>
        </w:rPr>
        <w:t xml:space="preserve">komorovou odpovědí, u bradykardie a u </w:t>
      </w:r>
      <w:proofErr w:type="spellStart"/>
      <w:r w:rsidRPr="00BE3213">
        <w:rPr>
          <w:color w:val="000000"/>
          <w:sz w:val="20"/>
          <w:szCs w:val="20"/>
        </w:rPr>
        <w:t>bradyarytmiích</w:t>
      </w:r>
      <w:proofErr w:type="spellEnd"/>
      <w:r w:rsidRPr="00BE3213">
        <w:rPr>
          <w:color w:val="000000"/>
          <w:sz w:val="20"/>
          <w:szCs w:val="20"/>
        </w:rPr>
        <w:t xml:space="preserve"> vyvolaných </w:t>
      </w:r>
    </w:p>
    <w:p w:rsidR="005C4664" w:rsidRPr="00BE3213" w:rsidRDefault="00BE3213" w:rsidP="00BE3213">
      <w:pPr>
        <w:pStyle w:val="Odstavecseseznamem"/>
        <w:spacing w:line="360" w:lineRule="auto"/>
        <w:ind w:left="1428"/>
        <w:rPr>
          <w:color w:val="000000"/>
          <w:sz w:val="20"/>
          <w:szCs w:val="20"/>
        </w:rPr>
      </w:pPr>
      <w:r w:rsidRPr="00BE3213">
        <w:rPr>
          <w:color w:val="000000"/>
          <w:sz w:val="20"/>
          <w:szCs w:val="20"/>
        </w:rPr>
        <w:t xml:space="preserve">předávkováním digitálisovými </w:t>
      </w:r>
      <w:proofErr w:type="spellStart"/>
      <w:r w:rsidRPr="00BE3213">
        <w:rPr>
          <w:color w:val="000000"/>
          <w:sz w:val="20"/>
          <w:szCs w:val="20"/>
        </w:rPr>
        <w:t>glykozidy</w:t>
      </w:r>
      <w:proofErr w:type="spellEnd"/>
      <w:r w:rsidRPr="00BE3213">
        <w:rPr>
          <w:color w:val="000000"/>
          <w:sz w:val="20"/>
          <w:szCs w:val="20"/>
        </w:rPr>
        <w:t>.</w:t>
      </w:r>
    </w:p>
    <w:p w:rsidR="00BE3213" w:rsidRPr="00BE3213" w:rsidRDefault="005C4664" w:rsidP="00BE3213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h</w:t>
      </w:r>
      <w:r w:rsidRPr="00A04702">
        <w:rPr>
          <w:b/>
          <w:sz w:val="20"/>
        </w:rPr>
        <w:t>lavními kontraindikacemi jsou</w:t>
      </w:r>
      <w:r>
        <w:rPr>
          <w:b/>
          <w:sz w:val="20"/>
        </w:rPr>
        <w:t xml:space="preserve">: </w:t>
      </w:r>
      <w:r w:rsidR="00BE3213">
        <w:rPr>
          <w:b/>
          <w:sz w:val="20"/>
        </w:rPr>
        <w:t xml:space="preserve"> </w:t>
      </w:r>
      <w:r w:rsidR="00BE3213" w:rsidRPr="00BE3213">
        <w:rPr>
          <w:sz w:val="20"/>
        </w:rPr>
        <w:t xml:space="preserve">Glaukom, hypertrofie prostaty, organická </w:t>
      </w:r>
    </w:p>
    <w:p w:rsidR="00BE3213" w:rsidRPr="00BE3213" w:rsidRDefault="00BE3213" w:rsidP="00BE3213">
      <w:pPr>
        <w:pStyle w:val="Odstavecseseznamem"/>
        <w:spacing w:line="360" w:lineRule="auto"/>
        <w:ind w:left="1428"/>
        <w:rPr>
          <w:sz w:val="20"/>
        </w:rPr>
      </w:pPr>
      <w:r w:rsidRPr="00BE3213">
        <w:rPr>
          <w:sz w:val="20"/>
        </w:rPr>
        <w:t xml:space="preserve">stenóza pyloru, hypertyreóza, </w:t>
      </w:r>
      <w:proofErr w:type="spellStart"/>
      <w:r w:rsidRPr="00BE3213">
        <w:rPr>
          <w:sz w:val="20"/>
        </w:rPr>
        <w:t>mukoviscidóza</w:t>
      </w:r>
      <w:proofErr w:type="spellEnd"/>
      <w:r w:rsidRPr="00BE3213">
        <w:rPr>
          <w:sz w:val="20"/>
        </w:rPr>
        <w:t>, tachykardie, zvýšený nitrolebeční</w:t>
      </w:r>
    </w:p>
    <w:p w:rsidR="00BE3213" w:rsidRPr="00BE3213" w:rsidRDefault="00BE3213" w:rsidP="00BE3213">
      <w:pPr>
        <w:pStyle w:val="Odstavecseseznamem"/>
        <w:spacing w:line="360" w:lineRule="auto"/>
        <w:ind w:left="1428"/>
        <w:rPr>
          <w:b/>
          <w:color w:val="000000"/>
          <w:sz w:val="20"/>
          <w:szCs w:val="20"/>
        </w:rPr>
      </w:pPr>
      <w:r w:rsidRPr="00BE3213">
        <w:rPr>
          <w:sz w:val="20"/>
        </w:rPr>
        <w:t xml:space="preserve">a nitrooční tlak, hypoxie. </w:t>
      </w:r>
      <w:r w:rsidRPr="00BE3213">
        <w:rPr>
          <w:b/>
          <w:color w:val="000000"/>
          <w:sz w:val="20"/>
          <w:szCs w:val="20"/>
        </w:rPr>
        <w:t xml:space="preserve">Není doporučen při febrilních stavech, hlavně u dětí, </w:t>
      </w:r>
    </w:p>
    <w:p w:rsidR="00BE3213" w:rsidRPr="00BE3213" w:rsidRDefault="00BE3213" w:rsidP="00BE3213">
      <w:pPr>
        <w:pStyle w:val="Odstavecseseznamem"/>
        <w:spacing w:line="360" w:lineRule="auto"/>
        <w:ind w:left="1428"/>
        <w:rPr>
          <w:sz w:val="20"/>
        </w:rPr>
      </w:pPr>
      <w:r w:rsidRPr="00BE3213">
        <w:rPr>
          <w:b/>
          <w:color w:val="000000"/>
          <w:sz w:val="20"/>
          <w:szCs w:val="20"/>
        </w:rPr>
        <w:t>protože pro blokádu pocení může atropin vyvolat hypertermii.</w:t>
      </w:r>
    </w:p>
    <w:p w:rsidR="00BE3213" w:rsidRPr="00BE3213" w:rsidRDefault="00BE3213" w:rsidP="00BE3213">
      <w:pPr>
        <w:pStyle w:val="Odstavecseseznamem"/>
        <w:spacing w:line="360" w:lineRule="auto"/>
        <w:ind w:left="1428"/>
        <w:rPr>
          <w:sz w:val="20"/>
        </w:rPr>
      </w:pPr>
    </w:p>
    <w:p w:rsidR="00BE3213" w:rsidRDefault="00BE3213" w:rsidP="00BE3213">
      <w:pPr>
        <w:pStyle w:val="Odstavecseseznamem"/>
        <w:spacing w:line="360" w:lineRule="auto"/>
        <w:ind w:left="1428"/>
        <w:rPr>
          <w:sz w:val="20"/>
        </w:rPr>
      </w:pPr>
    </w:p>
    <w:p w:rsidR="005C4664" w:rsidRDefault="005C4664" w:rsidP="005C4664">
      <w:pPr>
        <w:pStyle w:val="Odstavecseseznamem"/>
        <w:spacing w:line="360" w:lineRule="auto"/>
        <w:ind w:left="1428"/>
        <w:rPr>
          <w:sz w:val="20"/>
        </w:rPr>
      </w:pPr>
    </w:p>
    <w:p w:rsidR="005C4664" w:rsidRPr="005C4664" w:rsidRDefault="005C4664" w:rsidP="005C4664">
      <w:pPr>
        <w:pStyle w:val="Odstavecseseznamem"/>
        <w:spacing w:line="360" w:lineRule="auto"/>
        <w:ind w:left="1428"/>
      </w:pPr>
      <w:r>
        <w:rPr>
          <w:sz w:val="20"/>
        </w:rPr>
        <w:t xml:space="preserve"> </w:t>
      </w:r>
    </w:p>
    <w:p w:rsidR="005C4664" w:rsidRDefault="005C4664" w:rsidP="005C4664"/>
    <w:p w:rsidR="005C4664" w:rsidRDefault="005C4664" w:rsidP="005C4664"/>
    <w:p w:rsidR="005C4664" w:rsidRDefault="005C4664" w:rsidP="005C4664"/>
    <w:p w:rsidR="005C4664" w:rsidRPr="005C4664" w:rsidRDefault="005C4664" w:rsidP="005C4664"/>
    <w:p w:rsidR="005C4664" w:rsidRPr="005C4664" w:rsidRDefault="005C4664" w:rsidP="005C4664"/>
    <w:p w:rsidR="005C4664" w:rsidRPr="005C4664" w:rsidRDefault="005C4664" w:rsidP="005C4664"/>
    <w:p w:rsidR="005C4664" w:rsidRPr="005C4664" w:rsidRDefault="005C4664" w:rsidP="005C4664"/>
    <w:p w:rsidR="005C4664" w:rsidRPr="005C4664" w:rsidRDefault="005C4664" w:rsidP="005C4664"/>
    <w:p w:rsidR="005C4664" w:rsidRPr="005C4664" w:rsidRDefault="005C4664" w:rsidP="005C4664"/>
    <w:p w:rsidR="005C4664" w:rsidRPr="005C4664" w:rsidRDefault="005C4664" w:rsidP="005C4664"/>
    <w:p w:rsidR="005C4664" w:rsidRPr="005C4664" w:rsidRDefault="005C4664" w:rsidP="005C4664"/>
    <w:p w:rsidR="005C4664" w:rsidRPr="005C4664" w:rsidRDefault="00BE3213" w:rsidP="005C4664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60A0F00B" wp14:editId="1925BB27">
            <wp:simplePos x="0" y="0"/>
            <wp:positionH relativeFrom="margin">
              <wp:posOffset>346710</wp:posOffset>
            </wp:positionH>
            <wp:positionV relativeFrom="paragraph">
              <wp:posOffset>-3391535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4664" w:rsidRPr="005C4664" w:rsidRDefault="005C4664" w:rsidP="005C4664"/>
    <w:p w:rsidR="005C4664" w:rsidRDefault="005C4664" w:rsidP="005C4664"/>
    <w:p w:rsidR="00BE3213" w:rsidRDefault="00BE3213" w:rsidP="00BE3213">
      <w:r>
        <w:rPr>
          <w:noProof/>
          <w:lang w:eastAsia="cs-CZ"/>
        </w:rPr>
        <w:lastRenderedPageBreak/>
        <w:drawing>
          <wp:anchor distT="0" distB="0" distL="114300" distR="114300" simplePos="0" relativeHeight="251665408" behindDoc="1" locked="0" layoutInCell="1" allowOverlap="1" wp14:anchorId="666E8B00" wp14:editId="39D76175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4886325" cy="4282440"/>
            <wp:effectExtent l="0" t="0" r="9525" b="381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213" w:rsidRPr="00BE3213" w:rsidRDefault="00BE3213" w:rsidP="00BE3213">
      <w:pPr>
        <w:jc w:val="center"/>
        <w:rPr>
          <w:b/>
          <w:noProof/>
          <w:sz w:val="28"/>
          <w:szCs w:val="28"/>
        </w:rPr>
      </w:pPr>
      <w:proofErr w:type="spellStart"/>
      <w:r w:rsidRPr="00BE3213">
        <w:rPr>
          <w:b/>
          <w:color w:val="000000"/>
          <w:sz w:val="28"/>
          <w:szCs w:val="28"/>
        </w:rPr>
        <w:t>Isoprenalin</w:t>
      </w:r>
      <w:proofErr w:type="spellEnd"/>
      <w:r w:rsidRPr="00BE3213">
        <w:rPr>
          <w:b/>
          <w:color w:val="000000"/>
          <w:sz w:val="28"/>
          <w:szCs w:val="28"/>
        </w:rPr>
        <w:t xml:space="preserve"> (</w:t>
      </w:r>
      <w:proofErr w:type="spellStart"/>
      <w:r w:rsidRPr="00BE3213">
        <w:rPr>
          <w:b/>
          <w:color w:val="000000"/>
          <w:sz w:val="28"/>
          <w:szCs w:val="28"/>
        </w:rPr>
        <w:t>isoprenalini</w:t>
      </w:r>
      <w:proofErr w:type="spellEnd"/>
      <w:r w:rsidRPr="00BE3213">
        <w:rPr>
          <w:b/>
          <w:color w:val="000000"/>
          <w:sz w:val="28"/>
          <w:szCs w:val="28"/>
        </w:rPr>
        <w:t xml:space="preserve"> </w:t>
      </w:r>
      <w:proofErr w:type="spellStart"/>
      <w:r w:rsidRPr="00BE3213">
        <w:rPr>
          <w:b/>
          <w:color w:val="000000"/>
          <w:sz w:val="28"/>
          <w:szCs w:val="28"/>
        </w:rPr>
        <w:t>hydrochloridum</w:t>
      </w:r>
      <w:proofErr w:type="spellEnd"/>
      <w:r w:rsidR="002012A0">
        <w:rPr>
          <w:b/>
          <w:color w:val="000000"/>
          <w:sz w:val="28"/>
          <w:szCs w:val="28"/>
        </w:rPr>
        <w:t>)</w:t>
      </w:r>
    </w:p>
    <w:p w:rsidR="00BE3213" w:rsidRPr="00A05C94" w:rsidRDefault="00BE3213" w:rsidP="00BE3213"/>
    <w:p w:rsidR="00FD0D71" w:rsidRPr="00FD0D71" w:rsidRDefault="00FD0D71" w:rsidP="00BE3213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proofErr w:type="spellStart"/>
      <w:r w:rsidRPr="00FD0D71">
        <w:rPr>
          <w:color w:val="000000"/>
          <w:sz w:val="20"/>
          <w:szCs w:val="20"/>
        </w:rPr>
        <w:t>Betamimetikum</w:t>
      </w:r>
      <w:proofErr w:type="spellEnd"/>
      <w:r w:rsidRPr="00FD0D71">
        <w:rPr>
          <w:color w:val="000000"/>
          <w:sz w:val="20"/>
          <w:szCs w:val="20"/>
        </w:rPr>
        <w:t xml:space="preserve"> a neselektivní agonista β-receptorů s podobnými účinky jako </w:t>
      </w:r>
    </w:p>
    <w:p w:rsidR="00FD0D71" w:rsidRPr="00FD0D71" w:rsidRDefault="00FD0D71" w:rsidP="003A7B40">
      <w:pPr>
        <w:pStyle w:val="Odstavecseseznamem"/>
        <w:spacing w:line="360" w:lineRule="auto"/>
        <w:ind w:left="1428"/>
        <w:rPr>
          <w:b/>
          <w:sz w:val="20"/>
        </w:rPr>
      </w:pPr>
      <w:r w:rsidRPr="00FD0D71">
        <w:rPr>
          <w:color w:val="000000"/>
          <w:sz w:val="20"/>
          <w:szCs w:val="20"/>
        </w:rPr>
        <w:t xml:space="preserve">adrenalin - zvyšuje sílu kontrakce myokardu a srdeční frekvenci, </w:t>
      </w:r>
      <w:proofErr w:type="spellStart"/>
      <w:r w:rsidRPr="00FD0D71">
        <w:rPr>
          <w:color w:val="000000"/>
          <w:sz w:val="20"/>
          <w:szCs w:val="20"/>
        </w:rPr>
        <w:t>vazodilatuje</w:t>
      </w:r>
      <w:proofErr w:type="spellEnd"/>
      <w:r w:rsidRPr="00FD0D71">
        <w:rPr>
          <w:color w:val="000000"/>
          <w:sz w:val="20"/>
          <w:szCs w:val="20"/>
        </w:rPr>
        <w:t xml:space="preserve"> </w:t>
      </w:r>
    </w:p>
    <w:p w:rsidR="00FD0D71" w:rsidRPr="00FD0D71" w:rsidRDefault="00FD0D71" w:rsidP="003A7B40">
      <w:pPr>
        <w:pStyle w:val="Odstavecseseznamem"/>
        <w:spacing w:line="360" w:lineRule="auto"/>
        <w:ind w:left="1428"/>
        <w:rPr>
          <w:b/>
          <w:sz w:val="20"/>
        </w:rPr>
      </w:pPr>
      <w:r w:rsidRPr="00FD0D71">
        <w:rPr>
          <w:color w:val="000000"/>
          <w:sz w:val="20"/>
          <w:szCs w:val="20"/>
        </w:rPr>
        <w:t>plicní řečišti bez ovlivnění průtoku renálním a mezenteriálním cévním řečištěm</w:t>
      </w:r>
      <w:r>
        <w:rPr>
          <w:color w:val="000000"/>
          <w:sz w:val="27"/>
          <w:szCs w:val="27"/>
        </w:rPr>
        <w:t>.</w:t>
      </w:r>
    </w:p>
    <w:p w:rsidR="003A7B40" w:rsidRPr="003A7B40" w:rsidRDefault="00BE3213" w:rsidP="003A7B40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 w:rsidRPr="00A04702">
        <w:rPr>
          <w:b/>
          <w:sz w:val="20"/>
        </w:rPr>
        <w:t>terapeutické indikace</w:t>
      </w:r>
      <w:r w:rsidR="003A7B40">
        <w:rPr>
          <w:sz w:val="20"/>
        </w:rPr>
        <w:t xml:space="preserve"> při kolapsu krevního oběhu s poklesem </w:t>
      </w:r>
      <w:r w:rsidR="003A7B40" w:rsidRPr="003A7B40">
        <w:rPr>
          <w:color w:val="000000"/>
          <w:sz w:val="20"/>
          <w:szCs w:val="20"/>
        </w:rPr>
        <w:t xml:space="preserve">srdečního výdeje a </w:t>
      </w:r>
    </w:p>
    <w:p w:rsidR="003A7B40" w:rsidRDefault="003A7B40" w:rsidP="003A7B40">
      <w:pPr>
        <w:pStyle w:val="Odstavecseseznamem"/>
        <w:spacing w:line="360" w:lineRule="auto"/>
        <w:ind w:left="1428"/>
        <w:rPr>
          <w:color w:val="000000"/>
          <w:sz w:val="20"/>
          <w:szCs w:val="20"/>
        </w:rPr>
      </w:pPr>
      <w:r w:rsidRPr="003A7B40">
        <w:rPr>
          <w:color w:val="000000"/>
          <w:sz w:val="20"/>
          <w:szCs w:val="20"/>
        </w:rPr>
        <w:t>vzestupem centrálního žilního tlaku</w:t>
      </w:r>
      <w:r>
        <w:rPr>
          <w:color w:val="000000"/>
          <w:sz w:val="20"/>
          <w:szCs w:val="20"/>
        </w:rPr>
        <w:t xml:space="preserve">, </w:t>
      </w:r>
      <w:r w:rsidRPr="003A7B40">
        <w:rPr>
          <w:color w:val="000000"/>
          <w:sz w:val="20"/>
          <w:szCs w:val="20"/>
        </w:rPr>
        <w:t xml:space="preserve">prevence </w:t>
      </w:r>
      <w:proofErr w:type="spellStart"/>
      <w:r w:rsidRPr="003A7B40">
        <w:rPr>
          <w:color w:val="000000"/>
          <w:sz w:val="20"/>
          <w:szCs w:val="20"/>
        </w:rPr>
        <w:t>brochospazmu</w:t>
      </w:r>
      <w:proofErr w:type="spellEnd"/>
      <w:r w:rsidRPr="003A7B40">
        <w:rPr>
          <w:color w:val="000000"/>
          <w:sz w:val="20"/>
          <w:szCs w:val="20"/>
        </w:rPr>
        <w:t xml:space="preserve"> a plicní hypertenze </w:t>
      </w:r>
    </w:p>
    <w:p w:rsidR="00BE3213" w:rsidRPr="00E43D08" w:rsidRDefault="003A7B40" w:rsidP="003A7B40">
      <w:pPr>
        <w:pStyle w:val="Odstavecseseznamem"/>
        <w:spacing w:line="360" w:lineRule="auto"/>
        <w:ind w:left="1428"/>
        <w:rPr>
          <w:sz w:val="20"/>
        </w:rPr>
      </w:pPr>
      <w:r w:rsidRPr="003A7B40">
        <w:rPr>
          <w:color w:val="000000"/>
          <w:sz w:val="20"/>
          <w:szCs w:val="20"/>
        </w:rPr>
        <w:t>při anestezii</w:t>
      </w:r>
      <w:r>
        <w:rPr>
          <w:color w:val="000000"/>
          <w:sz w:val="20"/>
          <w:szCs w:val="20"/>
        </w:rPr>
        <w:t xml:space="preserve">, </w:t>
      </w:r>
      <w:r w:rsidRPr="003A7B40">
        <w:rPr>
          <w:color w:val="000000"/>
          <w:sz w:val="20"/>
          <w:szCs w:val="20"/>
        </w:rPr>
        <w:t xml:space="preserve">terapie </w:t>
      </w:r>
      <w:proofErr w:type="spellStart"/>
      <w:r w:rsidRPr="003A7B40">
        <w:rPr>
          <w:color w:val="000000"/>
          <w:sz w:val="20"/>
          <w:szCs w:val="20"/>
        </w:rPr>
        <w:t>Stokes-Adamsova</w:t>
      </w:r>
      <w:proofErr w:type="spellEnd"/>
      <w:r w:rsidRPr="003A7B40">
        <w:rPr>
          <w:color w:val="000000"/>
          <w:sz w:val="20"/>
          <w:szCs w:val="20"/>
        </w:rPr>
        <w:t xml:space="preserve"> syndromu</w:t>
      </w:r>
      <w:r>
        <w:rPr>
          <w:color w:val="000000"/>
          <w:sz w:val="20"/>
          <w:szCs w:val="20"/>
        </w:rPr>
        <w:t>.</w:t>
      </w:r>
    </w:p>
    <w:p w:rsidR="003A7B40" w:rsidRPr="003A7B40" w:rsidRDefault="00BE3213" w:rsidP="003A7B40">
      <w:pPr>
        <w:pStyle w:val="Odstavecseseznamem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b/>
          <w:sz w:val="20"/>
        </w:rPr>
        <w:t>h</w:t>
      </w:r>
      <w:r w:rsidRPr="00A04702">
        <w:rPr>
          <w:b/>
          <w:sz w:val="20"/>
        </w:rPr>
        <w:t>lavními kontraindikacemi jsou</w:t>
      </w:r>
      <w:r>
        <w:rPr>
          <w:b/>
          <w:sz w:val="20"/>
        </w:rPr>
        <w:t xml:space="preserve">: </w:t>
      </w:r>
      <w:r w:rsidR="003A7B40" w:rsidRPr="003A7B40">
        <w:rPr>
          <w:color w:val="000000"/>
          <w:sz w:val="20"/>
          <w:szCs w:val="20"/>
        </w:rPr>
        <w:t>sinusová tachykardie vyšší než 130/min</w:t>
      </w:r>
      <w:r w:rsidR="003A7B40">
        <w:rPr>
          <w:color w:val="000000"/>
          <w:sz w:val="20"/>
          <w:szCs w:val="20"/>
        </w:rPr>
        <w:t xml:space="preserve">, </w:t>
      </w:r>
      <w:r w:rsidR="003A7B40" w:rsidRPr="003A7B40">
        <w:rPr>
          <w:color w:val="000000"/>
          <w:sz w:val="20"/>
          <w:szCs w:val="20"/>
        </w:rPr>
        <w:t xml:space="preserve">intoxikace </w:t>
      </w:r>
      <w:proofErr w:type="spellStart"/>
      <w:r w:rsidR="003A7B40" w:rsidRPr="003A7B40">
        <w:rPr>
          <w:color w:val="000000"/>
          <w:sz w:val="20"/>
          <w:szCs w:val="20"/>
        </w:rPr>
        <w:t>digitalisem</w:t>
      </w:r>
      <w:proofErr w:type="spellEnd"/>
      <w:r w:rsidR="003A7B40" w:rsidRPr="003A7B40">
        <w:rPr>
          <w:color w:val="000000"/>
          <w:sz w:val="20"/>
          <w:szCs w:val="20"/>
        </w:rPr>
        <w:t>, akutní koronární insuficience, akutní infarkt myokardu</w:t>
      </w:r>
      <w:r w:rsidR="003A7B40">
        <w:rPr>
          <w:color w:val="000000"/>
          <w:sz w:val="20"/>
          <w:szCs w:val="20"/>
        </w:rPr>
        <w:t xml:space="preserve">, </w:t>
      </w:r>
      <w:r w:rsidR="003A7B40" w:rsidRPr="003A7B40">
        <w:rPr>
          <w:color w:val="000000"/>
          <w:sz w:val="20"/>
          <w:szCs w:val="20"/>
        </w:rPr>
        <w:t xml:space="preserve">současné </w:t>
      </w:r>
    </w:p>
    <w:p w:rsidR="003A7B40" w:rsidRPr="002012A0" w:rsidRDefault="003A7B40" w:rsidP="003A7B40">
      <w:pPr>
        <w:pStyle w:val="Odstavecseseznamem"/>
        <w:spacing w:line="360" w:lineRule="auto"/>
        <w:ind w:left="1428"/>
        <w:rPr>
          <w:b/>
          <w:sz w:val="20"/>
          <w:szCs w:val="20"/>
        </w:rPr>
      </w:pPr>
      <w:r w:rsidRPr="002012A0">
        <w:rPr>
          <w:b/>
          <w:color w:val="000000"/>
          <w:sz w:val="20"/>
          <w:szCs w:val="20"/>
        </w:rPr>
        <w:t>podávání s adrenalinem je kontraindikováno.</w:t>
      </w:r>
    </w:p>
    <w:p w:rsidR="00BE3213" w:rsidRDefault="00BE3213" w:rsidP="00BE3213">
      <w:pPr>
        <w:pStyle w:val="Odstavecseseznamem"/>
        <w:spacing w:line="360" w:lineRule="auto"/>
        <w:ind w:left="1428"/>
        <w:rPr>
          <w:sz w:val="20"/>
        </w:rPr>
      </w:pPr>
    </w:p>
    <w:p w:rsidR="00BE3213" w:rsidRPr="005C4664" w:rsidRDefault="00BE3213" w:rsidP="00BE3213">
      <w:pPr>
        <w:pStyle w:val="Odstavecseseznamem"/>
        <w:spacing w:line="360" w:lineRule="auto"/>
        <w:ind w:left="1428"/>
      </w:pPr>
      <w:r>
        <w:rPr>
          <w:sz w:val="20"/>
        </w:rPr>
        <w:t xml:space="preserve"> </w:t>
      </w:r>
    </w:p>
    <w:p w:rsidR="00BE3213" w:rsidRDefault="00BE3213" w:rsidP="00BE3213"/>
    <w:p w:rsidR="00BE3213" w:rsidRDefault="00BE3213" w:rsidP="00BE3213"/>
    <w:p w:rsidR="00BE3213" w:rsidRDefault="00BE3213" w:rsidP="00BE3213"/>
    <w:p w:rsidR="00BE3213" w:rsidRDefault="00BE3213" w:rsidP="00BE3213"/>
    <w:p w:rsidR="00BE3213" w:rsidRDefault="00BE3213" w:rsidP="00BE3213"/>
    <w:p w:rsidR="00BE3213" w:rsidRDefault="00BE3213" w:rsidP="00BE3213"/>
    <w:p w:rsidR="00BE3213" w:rsidRDefault="00BE3213" w:rsidP="00BE3213"/>
    <w:p w:rsidR="00BE3213" w:rsidRDefault="00BE3213" w:rsidP="00BE3213"/>
    <w:p w:rsidR="00BE3213" w:rsidRDefault="00BE3213" w:rsidP="00BE3213"/>
    <w:p w:rsidR="00BE3213" w:rsidRDefault="00BE3213" w:rsidP="00BE3213"/>
    <w:p w:rsidR="00BE3213" w:rsidRDefault="00BE3213" w:rsidP="00BE3213"/>
    <w:p w:rsidR="00BE3213" w:rsidRDefault="00BE3213" w:rsidP="00BE3213"/>
    <w:p w:rsidR="00BE3213" w:rsidRDefault="00BE3213" w:rsidP="00BE3213"/>
    <w:p w:rsidR="00BE3213" w:rsidRDefault="00BE3213" w:rsidP="00BE3213"/>
    <w:p w:rsidR="00BE3213" w:rsidRDefault="003A7B40" w:rsidP="005C4664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6347773E" wp14:editId="47B671F2">
            <wp:simplePos x="0" y="0"/>
            <wp:positionH relativeFrom="margin">
              <wp:posOffset>346710</wp:posOffset>
            </wp:positionH>
            <wp:positionV relativeFrom="paragraph">
              <wp:posOffset>-3087370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4664" w:rsidRDefault="005C4664" w:rsidP="005C4664">
      <w:pPr>
        <w:tabs>
          <w:tab w:val="left" w:pos="7980"/>
        </w:tabs>
      </w:pPr>
      <w:r>
        <w:tab/>
      </w:r>
    </w:p>
    <w:p w:rsidR="005C4664" w:rsidRDefault="005C4664" w:rsidP="005C4664">
      <w:pPr>
        <w:tabs>
          <w:tab w:val="left" w:pos="7980"/>
        </w:tabs>
      </w:pPr>
    </w:p>
    <w:p w:rsidR="005C4664" w:rsidRDefault="005C4664" w:rsidP="005C4664">
      <w:pPr>
        <w:tabs>
          <w:tab w:val="left" w:pos="7980"/>
        </w:tabs>
      </w:pPr>
    </w:p>
    <w:p w:rsidR="002012A0" w:rsidRDefault="002012A0" w:rsidP="002012A0">
      <w:r>
        <w:rPr>
          <w:noProof/>
          <w:lang w:eastAsia="cs-CZ"/>
        </w:rPr>
        <w:lastRenderedPageBreak/>
        <w:drawing>
          <wp:anchor distT="0" distB="0" distL="114300" distR="114300" simplePos="0" relativeHeight="251668480" behindDoc="1" locked="0" layoutInCell="1" allowOverlap="1" wp14:anchorId="030ADE6E" wp14:editId="5303DA3B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704" cy="42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2A0" w:rsidRPr="002012A0" w:rsidRDefault="002012A0" w:rsidP="002012A0">
      <w:pPr>
        <w:jc w:val="center"/>
        <w:rPr>
          <w:b/>
          <w:noProof/>
          <w:sz w:val="32"/>
          <w:szCs w:val="32"/>
        </w:rPr>
      </w:pPr>
      <w:proofErr w:type="spellStart"/>
      <w:r w:rsidRPr="002012A0">
        <w:rPr>
          <w:b/>
          <w:color w:val="000000"/>
          <w:sz w:val="32"/>
          <w:szCs w:val="32"/>
        </w:rPr>
        <w:t>Syntophyllin</w:t>
      </w:r>
      <w:proofErr w:type="spellEnd"/>
      <w:r w:rsidRPr="002012A0">
        <w:rPr>
          <w:b/>
          <w:color w:val="000000"/>
          <w:sz w:val="32"/>
          <w:szCs w:val="32"/>
        </w:rPr>
        <w:t xml:space="preserve"> (</w:t>
      </w:r>
      <w:proofErr w:type="spellStart"/>
      <w:r w:rsidRPr="002012A0">
        <w:rPr>
          <w:b/>
          <w:color w:val="000000"/>
          <w:sz w:val="32"/>
          <w:szCs w:val="32"/>
        </w:rPr>
        <w:t>Aminophyllinum</w:t>
      </w:r>
      <w:proofErr w:type="spellEnd"/>
      <w:r w:rsidRPr="002012A0">
        <w:rPr>
          <w:b/>
          <w:noProof/>
          <w:sz w:val="32"/>
          <w:szCs w:val="32"/>
        </w:rPr>
        <w:t>)</w:t>
      </w:r>
    </w:p>
    <w:p w:rsidR="002012A0" w:rsidRPr="00A05C94" w:rsidRDefault="002012A0" w:rsidP="002012A0"/>
    <w:p w:rsidR="002012A0" w:rsidRPr="002012A0" w:rsidRDefault="009D348C" w:rsidP="002012A0">
      <w:pPr>
        <w:pStyle w:val="Odstavecseseznamem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injekce obsahují aminofylin,</w:t>
      </w:r>
      <w:r w:rsidR="002012A0" w:rsidRPr="002012A0">
        <w:rPr>
          <w:color w:val="000000"/>
          <w:sz w:val="20"/>
          <w:szCs w:val="20"/>
        </w:rPr>
        <w:t xml:space="preserve"> vlastní účinek je způsoben </w:t>
      </w:r>
      <w:proofErr w:type="spellStart"/>
      <w:r w:rsidR="002012A0" w:rsidRPr="002012A0">
        <w:rPr>
          <w:color w:val="000000"/>
          <w:sz w:val="20"/>
          <w:szCs w:val="20"/>
        </w:rPr>
        <w:t>theofylinem</w:t>
      </w:r>
      <w:proofErr w:type="spellEnd"/>
      <w:r w:rsidR="002012A0" w:rsidRPr="002012A0">
        <w:rPr>
          <w:color w:val="000000"/>
          <w:sz w:val="20"/>
          <w:szCs w:val="20"/>
        </w:rPr>
        <w:t>.</w:t>
      </w:r>
    </w:p>
    <w:p w:rsidR="002012A0" w:rsidRPr="002012A0" w:rsidRDefault="002012A0" w:rsidP="002012A0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 w:rsidRPr="00A04702">
        <w:rPr>
          <w:b/>
          <w:sz w:val="20"/>
        </w:rPr>
        <w:t>terapeutické indikace</w:t>
      </w:r>
      <w:r w:rsidRPr="00A04702">
        <w:rPr>
          <w:sz w:val="20"/>
        </w:rPr>
        <w:t xml:space="preserve"> </w:t>
      </w:r>
      <w:r w:rsidRPr="002012A0">
        <w:rPr>
          <w:color w:val="000000"/>
          <w:sz w:val="20"/>
          <w:szCs w:val="20"/>
        </w:rPr>
        <w:t>bronchodilatační účinek, působí stimulačně na</w:t>
      </w:r>
    </w:p>
    <w:p w:rsidR="002012A0" w:rsidRPr="002012A0" w:rsidRDefault="002012A0" w:rsidP="002012A0">
      <w:pPr>
        <w:pStyle w:val="Odstavecseseznamem"/>
        <w:spacing w:line="360" w:lineRule="auto"/>
        <w:ind w:left="1428"/>
        <w:rPr>
          <w:sz w:val="20"/>
        </w:rPr>
      </w:pPr>
      <w:r w:rsidRPr="002012A0">
        <w:rPr>
          <w:color w:val="000000"/>
          <w:sz w:val="20"/>
          <w:szCs w:val="20"/>
        </w:rPr>
        <w:t xml:space="preserve"> dechové centrum, zvyšuje frekvenci a sílu srdečních kontrakcí, má slabý </w:t>
      </w:r>
    </w:p>
    <w:p w:rsidR="002012A0" w:rsidRPr="00E43D08" w:rsidRDefault="002012A0" w:rsidP="002012A0">
      <w:pPr>
        <w:pStyle w:val="Odstavecseseznamem"/>
        <w:spacing w:line="360" w:lineRule="auto"/>
        <w:ind w:left="1428"/>
        <w:rPr>
          <w:sz w:val="20"/>
        </w:rPr>
      </w:pPr>
      <w:r w:rsidRPr="002012A0">
        <w:rPr>
          <w:color w:val="000000"/>
          <w:sz w:val="20"/>
          <w:szCs w:val="20"/>
        </w:rPr>
        <w:t>diuretický účinek, stimuluje CNS a zvyšuje žaludeční sekreci</w:t>
      </w:r>
      <w:r>
        <w:rPr>
          <w:color w:val="000000"/>
          <w:sz w:val="20"/>
          <w:szCs w:val="20"/>
        </w:rPr>
        <w:t>. Léčba astmatu.</w:t>
      </w:r>
    </w:p>
    <w:p w:rsidR="002012A0" w:rsidRPr="00E43D08" w:rsidRDefault="002012A0" w:rsidP="002012A0">
      <w:pPr>
        <w:pStyle w:val="Odstavecseseznamem"/>
        <w:spacing w:line="360" w:lineRule="auto"/>
        <w:ind w:left="1428"/>
        <w:rPr>
          <w:sz w:val="20"/>
        </w:rPr>
      </w:pPr>
    </w:p>
    <w:p w:rsidR="002012A0" w:rsidRPr="002012A0" w:rsidRDefault="002012A0" w:rsidP="002012A0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h</w:t>
      </w:r>
      <w:r w:rsidRPr="00A04702">
        <w:rPr>
          <w:b/>
          <w:sz w:val="20"/>
        </w:rPr>
        <w:t>lavními kontraindikacemi jsou</w:t>
      </w:r>
      <w:r>
        <w:rPr>
          <w:b/>
          <w:sz w:val="20"/>
        </w:rPr>
        <w:t xml:space="preserve"> </w:t>
      </w:r>
      <w:r w:rsidRPr="002012A0">
        <w:rPr>
          <w:color w:val="000000"/>
          <w:sz w:val="20"/>
          <w:szCs w:val="20"/>
        </w:rPr>
        <w:t xml:space="preserve">intoxikace přípravky obsahujícími </w:t>
      </w:r>
      <w:proofErr w:type="spellStart"/>
      <w:r w:rsidRPr="002012A0">
        <w:rPr>
          <w:color w:val="000000"/>
          <w:sz w:val="20"/>
          <w:szCs w:val="20"/>
        </w:rPr>
        <w:t>theofylin</w:t>
      </w:r>
      <w:proofErr w:type="spellEnd"/>
    </w:p>
    <w:p w:rsidR="002012A0" w:rsidRDefault="002012A0" w:rsidP="002012A0">
      <w:pPr>
        <w:pStyle w:val="Odstavecseseznamem"/>
        <w:spacing w:line="360" w:lineRule="auto"/>
        <w:ind w:left="1428"/>
        <w:rPr>
          <w:color w:val="000000"/>
          <w:sz w:val="20"/>
          <w:szCs w:val="20"/>
        </w:rPr>
      </w:pPr>
      <w:r w:rsidRPr="002012A0">
        <w:rPr>
          <w:b/>
          <w:color w:val="000000"/>
          <w:sz w:val="20"/>
          <w:szCs w:val="20"/>
        </w:rPr>
        <w:t xml:space="preserve"> (často perorálně užívající u pacientů s CHOPN)</w:t>
      </w:r>
      <w:r w:rsidRPr="002012A0">
        <w:rPr>
          <w:color w:val="000000"/>
          <w:sz w:val="20"/>
          <w:szCs w:val="20"/>
        </w:rPr>
        <w:t xml:space="preserve">, přecitlivělost na </w:t>
      </w:r>
      <w:proofErr w:type="spellStart"/>
      <w:r w:rsidRPr="002012A0">
        <w:rPr>
          <w:color w:val="000000"/>
          <w:sz w:val="20"/>
          <w:szCs w:val="20"/>
        </w:rPr>
        <w:t>theofylin</w:t>
      </w:r>
      <w:proofErr w:type="spellEnd"/>
    </w:p>
    <w:p w:rsidR="002012A0" w:rsidRDefault="002012A0" w:rsidP="002012A0">
      <w:pPr>
        <w:pStyle w:val="Odstavecseseznamem"/>
        <w:spacing w:line="360" w:lineRule="auto"/>
        <w:ind w:left="1428"/>
        <w:rPr>
          <w:color w:val="000000"/>
          <w:sz w:val="20"/>
          <w:szCs w:val="20"/>
        </w:rPr>
      </w:pPr>
      <w:r w:rsidRPr="002012A0">
        <w:rPr>
          <w:color w:val="000000"/>
          <w:sz w:val="20"/>
          <w:szCs w:val="20"/>
        </w:rPr>
        <w:t xml:space="preserve"> a </w:t>
      </w:r>
      <w:proofErr w:type="spellStart"/>
      <w:r w:rsidRPr="002012A0">
        <w:rPr>
          <w:color w:val="000000"/>
          <w:sz w:val="20"/>
          <w:szCs w:val="20"/>
        </w:rPr>
        <w:t>edamin</w:t>
      </w:r>
      <w:proofErr w:type="spellEnd"/>
      <w:r w:rsidRPr="002012A0">
        <w:rPr>
          <w:color w:val="000000"/>
          <w:sz w:val="20"/>
          <w:szCs w:val="20"/>
        </w:rPr>
        <w:t xml:space="preserve">, tyreotoxikóza, těžká insuficience jater, </w:t>
      </w:r>
      <w:proofErr w:type="spellStart"/>
      <w:r w:rsidRPr="002012A0">
        <w:rPr>
          <w:color w:val="000000"/>
          <w:sz w:val="20"/>
          <w:szCs w:val="20"/>
        </w:rPr>
        <w:t>tachydysrytmie</w:t>
      </w:r>
      <w:proofErr w:type="spellEnd"/>
      <w:r w:rsidRPr="002012A0">
        <w:rPr>
          <w:color w:val="000000"/>
          <w:sz w:val="20"/>
          <w:szCs w:val="20"/>
        </w:rPr>
        <w:t>, akutní</w:t>
      </w:r>
    </w:p>
    <w:p w:rsidR="002012A0" w:rsidRDefault="002012A0" w:rsidP="002012A0">
      <w:pPr>
        <w:pStyle w:val="Odstavecseseznamem"/>
        <w:spacing w:line="360" w:lineRule="auto"/>
        <w:ind w:left="1428"/>
        <w:rPr>
          <w:sz w:val="20"/>
        </w:rPr>
      </w:pPr>
      <w:r w:rsidRPr="002012A0">
        <w:rPr>
          <w:color w:val="000000"/>
          <w:sz w:val="20"/>
          <w:szCs w:val="20"/>
        </w:rPr>
        <w:t xml:space="preserve"> infarkt myokardu, epilepsie. </w:t>
      </w:r>
      <w:r w:rsidRPr="002012A0">
        <w:rPr>
          <w:b/>
          <w:color w:val="000000"/>
          <w:sz w:val="20"/>
          <w:szCs w:val="20"/>
        </w:rPr>
        <w:t>Nepodává se intramuskulárně.</w:t>
      </w:r>
      <w:r>
        <w:rPr>
          <w:color w:val="000000"/>
          <w:sz w:val="20"/>
          <w:szCs w:val="20"/>
        </w:rPr>
        <w:t xml:space="preserve"> </w:t>
      </w:r>
    </w:p>
    <w:p w:rsidR="002012A0" w:rsidRDefault="002012A0" w:rsidP="002012A0">
      <w:pPr>
        <w:pStyle w:val="Odstavecseseznamem"/>
        <w:spacing w:line="360" w:lineRule="auto"/>
        <w:ind w:left="1428"/>
        <w:rPr>
          <w:sz w:val="20"/>
        </w:rPr>
      </w:pPr>
    </w:p>
    <w:p w:rsidR="002012A0" w:rsidRPr="005C4664" w:rsidRDefault="002012A0" w:rsidP="002012A0">
      <w:pPr>
        <w:pStyle w:val="Odstavecseseznamem"/>
        <w:spacing w:line="360" w:lineRule="auto"/>
        <w:ind w:left="1428"/>
      </w:pPr>
      <w:r>
        <w:rPr>
          <w:sz w:val="20"/>
        </w:rPr>
        <w:t xml:space="preserve"> </w:t>
      </w:r>
    </w:p>
    <w:p w:rsidR="002012A0" w:rsidRDefault="002012A0" w:rsidP="002012A0"/>
    <w:p w:rsidR="002012A0" w:rsidRDefault="002012A0" w:rsidP="002012A0"/>
    <w:p w:rsidR="002012A0" w:rsidRDefault="002012A0" w:rsidP="002012A0"/>
    <w:p w:rsidR="002012A0" w:rsidRDefault="002012A0" w:rsidP="002012A0"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01BC3349" wp14:editId="2C083051">
            <wp:simplePos x="0" y="0"/>
            <wp:positionH relativeFrom="margin">
              <wp:posOffset>90805</wp:posOffset>
            </wp:positionH>
            <wp:positionV relativeFrom="paragraph">
              <wp:posOffset>93345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12A0" w:rsidRDefault="002012A0" w:rsidP="002012A0"/>
    <w:p w:rsidR="002012A0" w:rsidRDefault="002012A0" w:rsidP="002012A0"/>
    <w:p w:rsidR="002012A0" w:rsidRDefault="002012A0" w:rsidP="002012A0"/>
    <w:p w:rsidR="002012A0" w:rsidRDefault="002012A0" w:rsidP="002012A0"/>
    <w:p w:rsidR="002012A0" w:rsidRDefault="002012A0" w:rsidP="002012A0"/>
    <w:p w:rsidR="002012A0" w:rsidRDefault="002012A0" w:rsidP="002012A0"/>
    <w:p w:rsidR="002012A0" w:rsidRDefault="002012A0" w:rsidP="002012A0"/>
    <w:p w:rsidR="002012A0" w:rsidRDefault="002012A0" w:rsidP="002012A0"/>
    <w:p w:rsidR="002012A0" w:rsidRDefault="002012A0" w:rsidP="002012A0"/>
    <w:p w:rsidR="002012A0" w:rsidRDefault="002012A0" w:rsidP="002012A0"/>
    <w:p w:rsidR="002012A0" w:rsidRDefault="002012A0" w:rsidP="002012A0"/>
    <w:p w:rsidR="002012A0" w:rsidRDefault="002012A0" w:rsidP="002012A0"/>
    <w:p w:rsidR="002012A0" w:rsidRDefault="002012A0" w:rsidP="002012A0"/>
    <w:p w:rsidR="002012A0" w:rsidRDefault="002012A0" w:rsidP="002012A0"/>
    <w:p w:rsidR="002012A0" w:rsidRDefault="002012A0" w:rsidP="002012A0"/>
    <w:p w:rsidR="002012A0" w:rsidRDefault="002012A0" w:rsidP="002012A0"/>
    <w:p w:rsidR="002012A0" w:rsidRPr="005C4664" w:rsidRDefault="002012A0" w:rsidP="005C4664">
      <w:pPr>
        <w:tabs>
          <w:tab w:val="left" w:pos="7980"/>
        </w:tabs>
      </w:pPr>
    </w:p>
    <w:sectPr w:rsidR="002012A0" w:rsidRPr="005C4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65"/>
    <w:rsid w:val="0002063F"/>
    <w:rsid w:val="002012A0"/>
    <w:rsid w:val="0024604E"/>
    <w:rsid w:val="002D2136"/>
    <w:rsid w:val="00307E8F"/>
    <w:rsid w:val="003A7B40"/>
    <w:rsid w:val="005C4664"/>
    <w:rsid w:val="00622165"/>
    <w:rsid w:val="006972E8"/>
    <w:rsid w:val="00761C48"/>
    <w:rsid w:val="009207BD"/>
    <w:rsid w:val="009D348C"/>
    <w:rsid w:val="00A04702"/>
    <w:rsid w:val="00A05C94"/>
    <w:rsid w:val="00A268D1"/>
    <w:rsid w:val="00A57656"/>
    <w:rsid w:val="00AA2931"/>
    <w:rsid w:val="00BE3213"/>
    <w:rsid w:val="00C00877"/>
    <w:rsid w:val="00D04595"/>
    <w:rsid w:val="00D42993"/>
    <w:rsid w:val="00E43D08"/>
    <w:rsid w:val="00F31825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C940E-CF58-49FD-894D-C2B45980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2</cp:revision>
  <dcterms:created xsi:type="dcterms:W3CDTF">2020-07-01T07:10:00Z</dcterms:created>
  <dcterms:modified xsi:type="dcterms:W3CDTF">2020-07-01T07:10:00Z</dcterms:modified>
</cp:coreProperties>
</file>