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4C" w:rsidRDefault="009E514C" w:rsidP="009E514C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52078157" wp14:editId="04F9D162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7" name="Obrázek 7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/>
    <w:p w:rsidR="009E514C" w:rsidRDefault="009E514C"/>
    <w:p w:rsidR="009E514C" w:rsidRDefault="009E514C"/>
    <w:p w:rsidR="009E514C" w:rsidRDefault="009E514C"/>
    <w:p w:rsidR="009E514C" w:rsidRDefault="009E514C"/>
    <w:p w:rsidR="009E514C" w:rsidRDefault="009E514C"/>
    <w:p w:rsidR="009E514C" w:rsidRDefault="009E514C"/>
    <w:p w:rsidR="009E514C" w:rsidRDefault="009E514C"/>
    <w:p w:rsidR="009E514C" w:rsidRDefault="009E514C"/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856649">
        <w:rPr>
          <w:b/>
          <w:noProof/>
          <w:sz w:val="32"/>
        </w:rPr>
        <w:t>Adrenalin</w:t>
      </w:r>
    </w:p>
    <w:p w:rsidR="009E514C" w:rsidRDefault="009E514C" w:rsidP="009E514C">
      <w:pPr>
        <w:pStyle w:val="Odstavecseseznamem"/>
        <w:spacing w:line="360" w:lineRule="auto"/>
        <w:ind w:left="1429"/>
        <w:rPr>
          <w:b/>
          <w:sz w:val="20"/>
          <w:szCs w:val="20"/>
        </w:rPr>
      </w:pPr>
    </w:p>
    <w:p w:rsidR="00A2535F" w:rsidRPr="00D41E09" w:rsidRDefault="00A2535F" w:rsidP="00A2535F">
      <w:pPr>
        <w:pStyle w:val="Odstavecseseznamem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</w:t>
      </w:r>
      <w:r w:rsidRPr="00D41E09">
        <w:rPr>
          <w:b/>
          <w:sz w:val="20"/>
          <w:szCs w:val="20"/>
        </w:rPr>
        <w:t>ympatikomimetikum</w:t>
      </w:r>
      <w:proofErr w:type="spellEnd"/>
    </w:p>
    <w:p w:rsidR="00856649" w:rsidRPr="00D41E09" w:rsidRDefault="00856649" w:rsidP="00A2535F">
      <w:pPr>
        <w:pStyle w:val="Odstavecseseznamem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D41E09">
        <w:rPr>
          <w:b/>
          <w:sz w:val="20"/>
          <w:szCs w:val="20"/>
        </w:rPr>
        <w:t xml:space="preserve">Indikace: </w:t>
      </w:r>
      <w:r w:rsidRPr="00D41E09">
        <w:rPr>
          <w:bCs/>
          <w:sz w:val="20"/>
          <w:szCs w:val="20"/>
        </w:rPr>
        <w:t>Srdeční zástava- tonizace myokardu při KPR</w:t>
      </w:r>
      <w:r w:rsidR="00D41E09">
        <w:rPr>
          <w:bCs/>
          <w:sz w:val="20"/>
          <w:szCs w:val="20"/>
        </w:rPr>
        <w:t xml:space="preserve"> </w:t>
      </w:r>
      <w:r w:rsidR="00D41E09" w:rsidRPr="00D41E09">
        <w:rPr>
          <w:bCs/>
          <w:sz w:val="20"/>
          <w:szCs w:val="20"/>
        </w:rPr>
        <w:t>(lék první volby</w:t>
      </w:r>
      <w:proofErr w:type="gramStart"/>
      <w:r w:rsidR="00D41E09" w:rsidRPr="00D41E09">
        <w:rPr>
          <w:bCs/>
          <w:sz w:val="20"/>
          <w:szCs w:val="20"/>
        </w:rPr>
        <w:t>)</w:t>
      </w:r>
      <w:r w:rsidR="00A2535F" w:rsidRPr="00D41E09">
        <w:rPr>
          <w:bCs/>
          <w:sz w:val="20"/>
          <w:szCs w:val="20"/>
        </w:rPr>
        <w:t>,</w:t>
      </w:r>
      <w:r w:rsidR="00D41E09" w:rsidRPr="00D41E09">
        <w:rPr>
          <w:bCs/>
          <w:sz w:val="20"/>
          <w:szCs w:val="20"/>
        </w:rPr>
        <w:t xml:space="preserve">   </w:t>
      </w:r>
      <w:proofErr w:type="gramEnd"/>
      <w:r w:rsidR="00D41E09" w:rsidRPr="00D41E09">
        <w:rPr>
          <w:bCs/>
          <w:sz w:val="20"/>
          <w:szCs w:val="20"/>
        </w:rPr>
        <w:t xml:space="preserve">                            </w:t>
      </w:r>
      <w:r w:rsidR="00A2535F" w:rsidRPr="00D41E09">
        <w:rPr>
          <w:bCs/>
          <w:sz w:val="20"/>
          <w:szCs w:val="20"/>
        </w:rPr>
        <w:t xml:space="preserve"> f</w:t>
      </w:r>
      <w:r w:rsidRPr="00D41E09">
        <w:rPr>
          <w:bCs/>
          <w:sz w:val="20"/>
          <w:szCs w:val="20"/>
        </w:rPr>
        <w:t>ibrilace komor</w:t>
      </w:r>
      <w:r w:rsidR="00D41E09" w:rsidRPr="00D41E09">
        <w:rPr>
          <w:bCs/>
          <w:sz w:val="20"/>
          <w:szCs w:val="20"/>
        </w:rPr>
        <w:t>,</w:t>
      </w:r>
      <w:r w:rsidR="00A2535F" w:rsidRPr="00D41E09">
        <w:rPr>
          <w:bCs/>
          <w:sz w:val="20"/>
          <w:szCs w:val="20"/>
        </w:rPr>
        <w:t xml:space="preserve"> a</w:t>
      </w:r>
      <w:r w:rsidRPr="00D41E09">
        <w:rPr>
          <w:bCs/>
          <w:sz w:val="20"/>
          <w:szCs w:val="20"/>
        </w:rPr>
        <w:t>nafylaktický a endotoxinový šok</w:t>
      </w:r>
      <w:r w:rsidR="00A2535F" w:rsidRPr="00D41E09">
        <w:rPr>
          <w:bCs/>
          <w:sz w:val="20"/>
          <w:szCs w:val="20"/>
        </w:rPr>
        <w:t>, b</w:t>
      </w:r>
      <w:r w:rsidRPr="00D41E09">
        <w:rPr>
          <w:bCs/>
          <w:sz w:val="20"/>
          <w:szCs w:val="20"/>
        </w:rPr>
        <w:t xml:space="preserve">ronchospasmus </w:t>
      </w:r>
    </w:p>
    <w:p w:rsidR="00856649" w:rsidRPr="00D41E09" w:rsidRDefault="00856649" w:rsidP="00A2535F">
      <w:pPr>
        <w:pStyle w:val="Odstavecseseznamem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D41E09">
        <w:rPr>
          <w:b/>
          <w:sz w:val="20"/>
          <w:szCs w:val="20"/>
        </w:rPr>
        <w:t>Nejčastější kontraindikace:</w:t>
      </w:r>
      <w:r w:rsidR="00A2535F" w:rsidRPr="00D41E09">
        <w:rPr>
          <w:b/>
          <w:sz w:val="20"/>
          <w:szCs w:val="20"/>
        </w:rPr>
        <w:t xml:space="preserve"> </w:t>
      </w:r>
      <w:r w:rsidRPr="00D41E09">
        <w:rPr>
          <w:bCs/>
          <w:sz w:val="20"/>
          <w:szCs w:val="20"/>
        </w:rPr>
        <w:t>Hypertenze, hypovolemie, pokročilý věk s</w:t>
      </w:r>
      <w:r w:rsidR="00A2535F" w:rsidRPr="00D41E09">
        <w:rPr>
          <w:bCs/>
          <w:sz w:val="20"/>
          <w:szCs w:val="20"/>
        </w:rPr>
        <w:t> </w:t>
      </w:r>
      <w:r w:rsidRPr="00D41E09">
        <w:rPr>
          <w:bCs/>
          <w:sz w:val="20"/>
          <w:szCs w:val="20"/>
        </w:rPr>
        <w:t>těžkou</w:t>
      </w:r>
      <w:r w:rsidR="00A2535F" w:rsidRPr="00D41E09">
        <w:rPr>
          <w:bCs/>
          <w:sz w:val="20"/>
          <w:szCs w:val="20"/>
        </w:rPr>
        <w:t xml:space="preserve">      </w:t>
      </w:r>
      <w:r w:rsidRPr="00D41E09">
        <w:rPr>
          <w:bCs/>
          <w:sz w:val="20"/>
          <w:szCs w:val="20"/>
        </w:rPr>
        <w:t xml:space="preserve"> aterosklerózou</w:t>
      </w:r>
    </w:p>
    <w:p w:rsidR="00A2535F" w:rsidRPr="00D41E09" w:rsidRDefault="00856649" w:rsidP="00A2535F">
      <w:pPr>
        <w:pStyle w:val="Odstavecseseznamem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41E09">
        <w:rPr>
          <w:b/>
          <w:sz w:val="20"/>
          <w:szCs w:val="20"/>
        </w:rPr>
        <w:t>Nežádoucí účinky:</w:t>
      </w:r>
      <w:r w:rsidR="00A2535F" w:rsidRPr="00D41E09">
        <w:rPr>
          <w:b/>
          <w:sz w:val="20"/>
          <w:szCs w:val="20"/>
        </w:rPr>
        <w:t xml:space="preserve"> </w:t>
      </w:r>
      <w:r w:rsidRPr="00D41E09">
        <w:rPr>
          <w:sz w:val="20"/>
          <w:szCs w:val="20"/>
        </w:rPr>
        <w:t>Arytmie, tachykardie</w:t>
      </w:r>
      <w:r w:rsidR="00CC5588" w:rsidRPr="00D41E09">
        <w:rPr>
          <w:sz w:val="20"/>
          <w:szCs w:val="20"/>
        </w:rPr>
        <w:t xml:space="preserve">, bradykardie, </w:t>
      </w:r>
      <w:proofErr w:type="gramStart"/>
      <w:r w:rsidR="00CC5588" w:rsidRPr="00D41E09">
        <w:rPr>
          <w:sz w:val="20"/>
          <w:szCs w:val="20"/>
        </w:rPr>
        <w:t>stenokardie</w:t>
      </w:r>
      <w:r w:rsidR="00A2535F" w:rsidRPr="00D41E09">
        <w:rPr>
          <w:sz w:val="20"/>
          <w:szCs w:val="20"/>
        </w:rPr>
        <w:t xml:space="preserve">,   </w:t>
      </w:r>
      <w:proofErr w:type="gramEnd"/>
      <w:r w:rsidR="00A2535F" w:rsidRPr="00D41E09">
        <w:rPr>
          <w:sz w:val="20"/>
          <w:szCs w:val="20"/>
        </w:rPr>
        <w:t xml:space="preserve">                                    </w:t>
      </w:r>
      <w:r w:rsidR="00CC5588" w:rsidRPr="00D41E09">
        <w:rPr>
          <w:sz w:val="20"/>
          <w:szCs w:val="20"/>
        </w:rPr>
        <w:t>bolest hlavy</w:t>
      </w:r>
      <w:r w:rsidR="00A2535F" w:rsidRPr="00D41E09">
        <w:rPr>
          <w:sz w:val="20"/>
          <w:szCs w:val="20"/>
        </w:rPr>
        <w:t>, n</w:t>
      </w:r>
      <w:r w:rsidR="00CC5588" w:rsidRPr="00D41E09">
        <w:rPr>
          <w:sz w:val="20"/>
          <w:szCs w:val="20"/>
        </w:rPr>
        <w:t>auzea, zvracení</w:t>
      </w:r>
    </w:p>
    <w:p w:rsidR="00CC5588" w:rsidRPr="00D41E09" w:rsidRDefault="00CC5588" w:rsidP="00A2535F">
      <w:pPr>
        <w:pStyle w:val="Odstavecseseznamem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D41E09">
        <w:rPr>
          <w:b/>
          <w:sz w:val="20"/>
          <w:szCs w:val="20"/>
        </w:rPr>
        <w:t>Způsoby podání</w:t>
      </w:r>
      <w:r w:rsidRPr="00D41E09">
        <w:rPr>
          <w:bCs/>
          <w:sz w:val="20"/>
          <w:szCs w:val="20"/>
        </w:rPr>
        <w:t xml:space="preserve">: </w:t>
      </w:r>
      <w:proofErr w:type="spellStart"/>
      <w:r w:rsidRPr="00D41E09">
        <w:rPr>
          <w:bCs/>
          <w:sz w:val="20"/>
          <w:szCs w:val="20"/>
        </w:rPr>
        <w:t>i.v</w:t>
      </w:r>
      <w:proofErr w:type="spellEnd"/>
      <w:r w:rsidRPr="00D41E09">
        <w:rPr>
          <w:bCs/>
          <w:sz w:val="20"/>
          <w:szCs w:val="20"/>
        </w:rPr>
        <w:t xml:space="preserve">, </w:t>
      </w:r>
      <w:proofErr w:type="spellStart"/>
      <w:r w:rsidRPr="00D41E09">
        <w:rPr>
          <w:bCs/>
          <w:sz w:val="20"/>
          <w:szCs w:val="20"/>
        </w:rPr>
        <w:t>i.o</w:t>
      </w:r>
      <w:proofErr w:type="spellEnd"/>
      <w:r w:rsidRPr="00D41E09">
        <w:rPr>
          <w:bCs/>
          <w:sz w:val="20"/>
          <w:szCs w:val="20"/>
        </w:rPr>
        <w:t xml:space="preserve">., </w:t>
      </w:r>
      <w:proofErr w:type="spellStart"/>
      <w:r w:rsidRPr="00D41E09">
        <w:rPr>
          <w:bCs/>
          <w:sz w:val="20"/>
          <w:szCs w:val="20"/>
        </w:rPr>
        <w:t>sc</w:t>
      </w:r>
      <w:proofErr w:type="spellEnd"/>
      <w:proofErr w:type="gramStart"/>
      <w:r w:rsidRPr="00D41E09">
        <w:rPr>
          <w:bCs/>
          <w:sz w:val="20"/>
          <w:szCs w:val="20"/>
        </w:rPr>
        <w:t>.,</w:t>
      </w:r>
      <w:proofErr w:type="spellStart"/>
      <w:r w:rsidRPr="00D41E09">
        <w:rPr>
          <w:bCs/>
          <w:sz w:val="20"/>
          <w:szCs w:val="20"/>
        </w:rPr>
        <w:t>i.m</w:t>
      </w:r>
      <w:proofErr w:type="spellEnd"/>
      <w:r w:rsidR="00D41E09" w:rsidRPr="00D41E09">
        <w:rPr>
          <w:bCs/>
          <w:sz w:val="20"/>
          <w:szCs w:val="20"/>
        </w:rPr>
        <w:t>.</w:t>
      </w:r>
      <w:proofErr w:type="gramEnd"/>
    </w:p>
    <w:p w:rsidR="00A2535F" w:rsidRPr="00D41E09" w:rsidRDefault="00A2535F" w:rsidP="00A2535F">
      <w:pPr>
        <w:spacing w:line="360" w:lineRule="auto"/>
        <w:rPr>
          <w:b/>
          <w:sz w:val="20"/>
          <w:szCs w:val="20"/>
        </w:rPr>
      </w:pPr>
      <w:r w:rsidRPr="00D41E09">
        <w:rPr>
          <w:b/>
          <w:sz w:val="20"/>
          <w:szCs w:val="20"/>
        </w:rPr>
        <w:t xml:space="preserve">                         </w:t>
      </w:r>
      <w:r w:rsidRPr="00D41E09">
        <w:rPr>
          <w:b/>
          <w:sz w:val="20"/>
          <w:szCs w:val="20"/>
        </w:rPr>
        <w:t>Epinefrin se nesmí použít k vazokonstrikci při lokální anestezii nosu, uší a prstů</w:t>
      </w:r>
    </w:p>
    <w:p w:rsidR="00A2535F" w:rsidRPr="00D41E09" w:rsidRDefault="00A2535F" w:rsidP="00A2535F">
      <w:pPr>
        <w:pStyle w:val="Bezmezer"/>
        <w:rPr>
          <w:b/>
          <w:bCs/>
          <w:sz w:val="20"/>
          <w:szCs w:val="20"/>
        </w:rPr>
      </w:pPr>
      <w:r w:rsidRPr="00D41E09">
        <w:rPr>
          <w:b/>
          <w:bCs/>
          <w:sz w:val="20"/>
          <w:szCs w:val="20"/>
        </w:rPr>
        <w:t xml:space="preserve">                        </w:t>
      </w:r>
      <w:r w:rsidR="00D41E09">
        <w:rPr>
          <w:b/>
          <w:bCs/>
          <w:sz w:val="20"/>
          <w:szCs w:val="20"/>
        </w:rPr>
        <w:t xml:space="preserve">      </w:t>
      </w:r>
      <w:r w:rsidR="00D41E09" w:rsidRPr="00D41E09">
        <w:rPr>
          <w:b/>
          <w:bCs/>
          <w:sz w:val="20"/>
          <w:szCs w:val="20"/>
        </w:rPr>
        <w:t xml:space="preserve">V průběhu léčby je nutné monitorování (Tlak, tepová frekvence, </w:t>
      </w:r>
      <w:r w:rsidR="00D41E09">
        <w:rPr>
          <w:b/>
          <w:bCs/>
          <w:sz w:val="20"/>
          <w:szCs w:val="20"/>
        </w:rPr>
        <w:t>EKG</w:t>
      </w:r>
      <w:r w:rsidR="00D41E09" w:rsidRPr="00D41E09">
        <w:rPr>
          <w:b/>
          <w:bCs/>
          <w:sz w:val="20"/>
          <w:szCs w:val="20"/>
        </w:rPr>
        <w:t>)</w:t>
      </w:r>
    </w:p>
    <w:p w:rsidR="009E514C" w:rsidRDefault="00D41E09" w:rsidP="009E514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</w:p>
    <w:p w:rsidR="00A2535F" w:rsidRPr="009E514C" w:rsidRDefault="009E514C" w:rsidP="009E514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</w:t>
      </w:r>
      <w:r w:rsidR="00A2535F" w:rsidRPr="009E514C">
        <w:rPr>
          <w:b/>
          <w:sz w:val="20"/>
          <w:szCs w:val="20"/>
        </w:rPr>
        <w:t>Je vhodný pro děti i dospělé</w:t>
      </w:r>
    </w:p>
    <w:p w:rsidR="00CC5588" w:rsidRDefault="00CC5588" w:rsidP="00CC5588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                        </w:t>
      </w:r>
    </w:p>
    <w:p w:rsidR="00CC5588" w:rsidRPr="00CC5588" w:rsidRDefault="00CC5588" w:rsidP="00CC5588">
      <w:pPr>
        <w:pStyle w:val="Bezmezer"/>
      </w:pPr>
      <w:r>
        <w:lastRenderedPageBreak/>
        <w:t xml:space="preserve">                                                  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7E6ECE" wp14:editId="146D979A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9E514C" w:rsidRDefault="009E514C" w:rsidP="000B7A33"/>
    <w:p w:rsidR="000B7A33" w:rsidRDefault="000B7A33" w:rsidP="000B7A33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2BB430E" wp14:editId="45086A12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A33" w:rsidRDefault="000B7A33" w:rsidP="000B7A33">
      <w:pPr>
        <w:rPr>
          <w:b/>
          <w:noProof/>
          <w:sz w:val="32"/>
        </w:rPr>
      </w:pPr>
      <w:r>
        <w:t xml:space="preserve">                                                                 </w:t>
      </w:r>
      <w:r>
        <w:rPr>
          <w:b/>
          <w:noProof/>
          <w:sz w:val="32"/>
        </w:rPr>
        <w:t xml:space="preserve">Ebrantil </w:t>
      </w:r>
    </w:p>
    <w:p w:rsidR="000B7A33" w:rsidRDefault="000B7A33" w:rsidP="000B7A33">
      <w:pPr>
        <w:rPr>
          <w:b/>
          <w:noProof/>
          <w:sz w:val="20"/>
          <w:szCs w:val="15"/>
        </w:rPr>
      </w:pPr>
      <w:r>
        <w:rPr>
          <w:b/>
          <w:noProof/>
          <w:sz w:val="32"/>
        </w:rPr>
        <w:t xml:space="preserve">           </w:t>
      </w:r>
    </w:p>
    <w:p w:rsidR="005F2C23" w:rsidRPr="009E514C" w:rsidRDefault="005F2C23" w:rsidP="000B7A33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>
        <w:rPr>
          <w:b/>
          <w:noProof/>
          <w:sz w:val="20"/>
          <w:szCs w:val="15"/>
        </w:rPr>
        <w:t xml:space="preserve">Účinná látka: </w:t>
      </w:r>
      <w:r w:rsidRPr="009E514C">
        <w:rPr>
          <w:bCs/>
          <w:noProof/>
          <w:sz w:val="20"/>
          <w:szCs w:val="15"/>
        </w:rPr>
        <w:t>Urapidil</w:t>
      </w:r>
    </w:p>
    <w:p w:rsidR="005F2C23" w:rsidRPr="009E514C" w:rsidRDefault="005F2C23" w:rsidP="000B7A33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>
        <w:rPr>
          <w:b/>
          <w:noProof/>
          <w:sz w:val="20"/>
          <w:szCs w:val="15"/>
        </w:rPr>
        <w:t xml:space="preserve">Indikační skupina: </w:t>
      </w:r>
      <w:r w:rsidRPr="009E514C">
        <w:rPr>
          <w:bCs/>
          <w:noProof/>
          <w:sz w:val="20"/>
          <w:szCs w:val="15"/>
        </w:rPr>
        <w:t>hypotenziva</w:t>
      </w:r>
    </w:p>
    <w:p w:rsidR="000B7A33" w:rsidRPr="009E514C" w:rsidRDefault="000B7A33" w:rsidP="000B7A33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>
        <w:rPr>
          <w:b/>
          <w:noProof/>
          <w:sz w:val="20"/>
          <w:szCs w:val="15"/>
        </w:rPr>
        <w:t xml:space="preserve">Indikace: </w:t>
      </w:r>
      <w:r w:rsidRPr="009E514C">
        <w:rPr>
          <w:bCs/>
          <w:noProof/>
          <w:sz w:val="20"/>
          <w:szCs w:val="15"/>
        </w:rPr>
        <w:t xml:space="preserve">Hypertenzní krize, velmi závažné formy hypertenze rezistentní </w:t>
      </w:r>
    </w:p>
    <w:p w:rsidR="000B7A33" w:rsidRPr="009E514C" w:rsidRDefault="000B7A33" w:rsidP="000B7A33">
      <w:pPr>
        <w:pStyle w:val="Odstavecseseznamem"/>
        <w:ind w:left="1429"/>
        <w:rPr>
          <w:bCs/>
          <w:noProof/>
          <w:sz w:val="20"/>
          <w:szCs w:val="15"/>
        </w:rPr>
      </w:pPr>
      <w:r w:rsidRPr="009E514C">
        <w:rPr>
          <w:bCs/>
          <w:noProof/>
          <w:sz w:val="20"/>
          <w:szCs w:val="15"/>
        </w:rPr>
        <w:t>na běžnou terapii.</w:t>
      </w:r>
    </w:p>
    <w:p w:rsidR="000B7A33" w:rsidRPr="009E514C" w:rsidRDefault="000B7A33" w:rsidP="000B7A33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>
        <w:rPr>
          <w:b/>
          <w:noProof/>
          <w:sz w:val="20"/>
          <w:szCs w:val="15"/>
        </w:rPr>
        <w:t xml:space="preserve">Kontraindikace: </w:t>
      </w:r>
      <w:r w:rsidRPr="009E514C">
        <w:rPr>
          <w:bCs/>
          <w:noProof/>
          <w:sz w:val="20"/>
          <w:szCs w:val="15"/>
        </w:rPr>
        <w:t xml:space="preserve">Nesmí se podávat u pacientů s koarktací aorty, aortální </w:t>
      </w:r>
    </w:p>
    <w:p w:rsidR="000B7A33" w:rsidRPr="009E514C" w:rsidRDefault="000B7A33" w:rsidP="000B7A33">
      <w:pPr>
        <w:pStyle w:val="Odstavecseseznamem"/>
        <w:ind w:left="1429"/>
        <w:rPr>
          <w:bCs/>
          <w:noProof/>
          <w:sz w:val="20"/>
          <w:szCs w:val="15"/>
        </w:rPr>
      </w:pPr>
      <w:r w:rsidRPr="009E514C">
        <w:rPr>
          <w:bCs/>
          <w:noProof/>
          <w:sz w:val="20"/>
          <w:szCs w:val="15"/>
        </w:rPr>
        <w:t>Stenóze.</w:t>
      </w:r>
    </w:p>
    <w:p w:rsidR="000B7A33" w:rsidRPr="009E514C" w:rsidRDefault="000B7A33" w:rsidP="000B7A33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>
        <w:rPr>
          <w:b/>
          <w:noProof/>
          <w:sz w:val="20"/>
          <w:szCs w:val="15"/>
        </w:rPr>
        <w:t xml:space="preserve">Nežádoucí účinky: </w:t>
      </w:r>
      <w:r w:rsidRPr="009E514C">
        <w:rPr>
          <w:bCs/>
          <w:noProof/>
          <w:sz w:val="20"/>
          <w:szCs w:val="15"/>
        </w:rPr>
        <w:t>Závratě, bolest hlavy, nevolnost</w:t>
      </w:r>
    </w:p>
    <w:p w:rsidR="000B7A33" w:rsidRDefault="00E47E56" w:rsidP="000B7A33">
      <w:pPr>
        <w:pStyle w:val="Odstavecseseznamem"/>
        <w:numPr>
          <w:ilvl w:val="0"/>
          <w:numId w:val="4"/>
        </w:numPr>
        <w:rPr>
          <w:b/>
          <w:noProof/>
          <w:sz w:val="20"/>
          <w:szCs w:val="15"/>
        </w:rPr>
      </w:pPr>
      <w:r>
        <w:rPr>
          <w:b/>
          <w:noProof/>
          <w:sz w:val="20"/>
          <w:szCs w:val="15"/>
        </w:rPr>
        <w:t>Nejčastější a nejrychlejší podání je i.v.</w:t>
      </w:r>
    </w:p>
    <w:p w:rsidR="00E47E56" w:rsidRDefault="00E47E56" w:rsidP="000B7A33">
      <w:pPr>
        <w:pStyle w:val="Odstavecseseznamem"/>
        <w:numPr>
          <w:ilvl w:val="0"/>
          <w:numId w:val="4"/>
        </w:numPr>
        <w:rPr>
          <w:b/>
          <w:noProof/>
          <w:sz w:val="20"/>
          <w:szCs w:val="15"/>
        </w:rPr>
      </w:pPr>
    </w:p>
    <w:p w:rsidR="000B7A33" w:rsidRPr="000B7A33" w:rsidRDefault="000B7A33" w:rsidP="000B7A33">
      <w:pPr>
        <w:pStyle w:val="Odstavecseseznamem"/>
        <w:ind w:left="1429"/>
        <w:rPr>
          <w:b/>
          <w:noProof/>
          <w:sz w:val="20"/>
          <w:szCs w:val="15"/>
        </w:rPr>
      </w:pPr>
    </w:p>
    <w:p w:rsidR="000B7A33" w:rsidRDefault="000B7A33"/>
    <w:p w:rsidR="009E514C" w:rsidRDefault="009E514C" w:rsidP="009E514C">
      <w:r>
        <w:rPr>
          <w:noProof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 wp14:anchorId="52078157" wp14:editId="04F9D162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8" name="Obrázek 8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 w:rsidP="004A5167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C7F7080" wp14:editId="200BCDB2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3" name="Obrázek 3" descr="Obsah obrázku snímek obrazovky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67" w:rsidRDefault="004A5167" w:rsidP="004A5167">
      <w:pPr>
        <w:rPr>
          <w:b/>
          <w:noProof/>
          <w:sz w:val="32"/>
        </w:rPr>
      </w:pPr>
      <w:r>
        <w:t xml:space="preserve">                                                                 </w:t>
      </w:r>
      <w:r>
        <w:rPr>
          <w:b/>
          <w:noProof/>
          <w:sz w:val="32"/>
        </w:rPr>
        <w:t xml:space="preserve">Naloxon </w:t>
      </w:r>
    </w:p>
    <w:p w:rsidR="004A5167" w:rsidRDefault="004A5167" w:rsidP="004A5167">
      <w:pPr>
        <w:rPr>
          <w:b/>
          <w:noProof/>
          <w:sz w:val="20"/>
          <w:szCs w:val="15"/>
        </w:rPr>
      </w:pPr>
      <w:r>
        <w:rPr>
          <w:b/>
          <w:noProof/>
          <w:sz w:val="32"/>
        </w:rPr>
        <w:t xml:space="preserve">           </w:t>
      </w:r>
    </w:p>
    <w:p w:rsidR="004A5167" w:rsidRPr="009E514C" w:rsidRDefault="009E514C" w:rsidP="009E514C">
      <w:pPr>
        <w:pStyle w:val="Odstavecseseznamem"/>
        <w:numPr>
          <w:ilvl w:val="0"/>
          <w:numId w:val="4"/>
        </w:numPr>
        <w:rPr>
          <w:b/>
          <w:noProof/>
          <w:sz w:val="20"/>
          <w:szCs w:val="15"/>
        </w:rPr>
      </w:pPr>
      <w:r w:rsidRPr="009E514C">
        <w:rPr>
          <w:b/>
          <w:noProof/>
          <w:sz w:val="20"/>
          <w:szCs w:val="15"/>
        </w:rPr>
        <w:t>Indikace:</w:t>
      </w:r>
      <w:r>
        <w:rPr>
          <w:b/>
          <w:noProof/>
          <w:sz w:val="20"/>
          <w:szCs w:val="15"/>
        </w:rPr>
        <w:t xml:space="preserve"> </w:t>
      </w:r>
      <w:r w:rsidR="004A5167" w:rsidRPr="009E514C">
        <w:rPr>
          <w:bCs/>
          <w:noProof/>
          <w:sz w:val="20"/>
          <w:szCs w:val="15"/>
        </w:rPr>
        <w:t>Antidotum při intoxikaci opioidy</w:t>
      </w:r>
      <w:r>
        <w:rPr>
          <w:bCs/>
          <w:noProof/>
          <w:sz w:val="20"/>
          <w:szCs w:val="15"/>
        </w:rPr>
        <w:t>, p</w:t>
      </w:r>
      <w:r w:rsidR="004A5167" w:rsidRPr="009E514C">
        <w:rPr>
          <w:bCs/>
          <w:noProof/>
          <w:sz w:val="20"/>
          <w:szCs w:val="15"/>
        </w:rPr>
        <w:t>robuzení z</w:t>
      </w:r>
      <w:r>
        <w:rPr>
          <w:bCs/>
          <w:noProof/>
          <w:sz w:val="20"/>
          <w:szCs w:val="15"/>
        </w:rPr>
        <w:t> </w:t>
      </w:r>
      <w:r w:rsidR="004A5167" w:rsidRPr="009E514C">
        <w:rPr>
          <w:bCs/>
          <w:noProof/>
          <w:sz w:val="20"/>
          <w:szCs w:val="15"/>
        </w:rPr>
        <w:t>anestézie</w:t>
      </w:r>
    </w:p>
    <w:p w:rsid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  <w:r>
        <w:rPr>
          <w:bCs/>
          <w:noProof/>
          <w:sz w:val="20"/>
          <w:szCs w:val="15"/>
        </w:rPr>
        <w:t xml:space="preserve">Zrušení útlumu dýchacího centra novorozenců vyvolané podáním opioidních </w:t>
      </w:r>
    </w:p>
    <w:p w:rsidR="009E514C" w:rsidRP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  <w:r>
        <w:rPr>
          <w:bCs/>
          <w:noProof/>
          <w:sz w:val="20"/>
          <w:szCs w:val="15"/>
        </w:rPr>
        <w:t>analgetik rodiče při porodu</w:t>
      </w:r>
    </w:p>
    <w:p w:rsidR="004A5167" w:rsidRPr="009E514C" w:rsidRDefault="004A5167" w:rsidP="004A5167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 w:rsidRPr="009E514C">
        <w:rPr>
          <w:b/>
          <w:noProof/>
          <w:sz w:val="20"/>
          <w:szCs w:val="15"/>
        </w:rPr>
        <w:t>Kontraindikace:</w:t>
      </w:r>
      <w:r w:rsidRPr="009E514C">
        <w:rPr>
          <w:bCs/>
          <w:noProof/>
          <w:sz w:val="20"/>
          <w:szCs w:val="15"/>
        </w:rPr>
        <w:t xml:space="preserve"> hypersenzitivna na léčivou látku </w:t>
      </w:r>
    </w:p>
    <w:p w:rsidR="009E514C" w:rsidRDefault="004A5167" w:rsidP="009E514C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 w:rsidRPr="009E514C">
        <w:rPr>
          <w:b/>
          <w:noProof/>
          <w:sz w:val="20"/>
          <w:szCs w:val="15"/>
        </w:rPr>
        <w:t>Nežádoucí účinky:</w:t>
      </w:r>
      <w:r w:rsidRPr="009E514C">
        <w:rPr>
          <w:bCs/>
          <w:noProof/>
          <w:sz w:val="20"/>
          <w:szCs w:val="15"/>
        </w:rPr>
        <w:t xml:space="preserve"> hypotenze, hypertenze, tachykardie, zvracení</w:t>
      </w:r>
      <w:r w:rsidR="009E514C">
        <w:rPr>
          <w:bCs/>
          <w:noProof/>
          <w:sz w:val="20"/>
          <w:szCs w:val="15"/>
        </w:rPr>
        <w:t>, zimnice</w:t>
      </w:r>
    </w:p>
    <w:p w:rsidR="009E514C" w:rsidRP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  <w:r>
        <w:rPr>
          <w:bCs/>
          <w:noProof/>
          <w:sz w:val="20"/>
          <w:szCs w:val="15"/>
        </w:rPr>
        <w:t>hyperventilace</w:t>
      </w:r>
    </w:p>
    <w:p w:rsidR="004A5167" w:rsidRPr="009E514C" w:rsidRDefault="004A5167" w:rsidP="004A5167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 w:rsidRPr="009E514C">
        <w:rPr>
          <w:b/>
          <w:noProof/>
          <w:sz w:val="20"/>
          <w:szCs w:val="15"/>
        </w:rPr>
        <w:t>Způsoby podání:</w:t>
      </w:r>
      <w:r w:rsidRPr="009E514C">
        <w:rPr>
          <w:bCs/>
          <w:noProof/>
          <w:sz w:val="20"/>
          <w:szCs w:val="15"/>
        </w:rPr>
        <w:t xml:space="preserve"> i.v., i.m.</w:t>
      </w:r>
      <w:r w:rsidR="00C30103" w:rsidRPr="009E514C">
        <w:rPr>
          <w:bCs/>
          <w:noProof/>
          <w:sz w:val="20"/>
          <w:szCs w:val="15"/>
        </w:rPr>
        <w:t xml:space="preserve"> nebo s.c.</w:t>
      </w:r>
    </w:p>
    <w:p w:rsidR="00C30103" w:rsidRPr="009E514C" w:rsidRDefault="00C30103" w:rsidP="00C30103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 w:rsidRPr="009E514C">
        <w:rPr>
          <w:bCs/>
          <w:noProof/>
          <w:sz w:val="20"/>
          <w:szCs w:val="15"/>
        </w:rPr>
        <w:t>Naloxon se musí podávat s opatrností pacientům, kteří dostali velké dávky</w:t>
      </w:r>
    </w:p>
    <w:p w:rsidR="00C30103" w:rsidRPr="009E514C" w:rsidRDefault="00C30103" w:rsidP="00C30103">
      <w:pPr>
        <w:pStyle w:val="Odstavecseseznamem"/>
        <w:ind w:left="1429"/>
        <w:rPr>
          <w:bCs/>
          <w:noProof/>
          <w:sz w:val="20"/>
          <w:szCs w:val="15"/>
        </w:rPr>
      </w:pPr>
      <w:r w:rsidRPr="009E514C">
        <w:rPr>
          <w:bCs/>
          <w:noProof/>
          <w:sz w:val="20"/>
          <w:szCs w:val="15"/>
        </w:rPr>
        <w:t xml:space="preserve">opioidů nebo osobám závislých na opioidech </w:t>
      </w:r>
    </w:p>
    <w:p w:rsidR="00C30103" w:rsidRPr="009E514C" w:rsidRDefault="00C30103" w:rsidP="00C30103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 w:rsidRPr="009E514C">
        <w:rPr>
          <w:bCs/>
          <w:noProof/>
          <w:sz w:val="20"/>
          <w:szCs w:val="15"/>
        </w:rPr>
        <w:t>Doba působení naloxonu může být kratší než</w:t>
      </w:r>
      <w:r w:rsidR="00BD572E" w:rsidRPr="009E514C">
        <w:rPr>
          <w:bCs/>
          <w:noProof/>
          <w:sz w:val="20"/>
          <w:szCs w:val="15"/>
        </w:rPr>
        <w:t xml:space="preserve"> doba účinku opioidů, proto</w:t>
      </w:r>
    </w:p>
    <w:p w:rsidR="009E514C" w:rsidRDefault="00BD572E" w:rsidP="009E514C">
      <w:pPr>
        <w:pStyle w:val="Odstavecseseznamem"/>
        <w:ind w:left="1429"/>
        <w:rPr>
          <w:bCs/>
          <w:noProof/>
          <w:sz w:val="20"/>
          <w:szCs w:val="15"/>
        </w:rPr>
      </w:pPr>
      <w:r w:rsidRPr="009E514C">
        <w:rPr>
          <w:bCs/>
          <w:noProof/>
          <w:sz w:val="20"/>
          <w:szCs w:val="15"/>
        </w:rPr>
        <w:t>existuje riziko návratu dechového útlumu</w:t>
      </w:r>
    </w:p>
    <w:p w:rsidR="009E514C" w:rsidRP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</w:p>
    <w:p w:rsidR="00BD572E" w:rsidRDefault="00BD572E" w:rsidP="00BD572E">
      <w:pPr>
        <w:pStyle w:val="Odstavecseseznamem"/>
        <w:numPr>
          <w:ilvl w:val="0"/>
          <w:numId w:val="4"/>
        </w:numPr>
        <w:rPr>
          <w:b/>
          <w:noProof/>
          <w:sz w:val="20"/>
          <w:szCs w:val="15"/>
        </w:rPr>
      </w:pPr>
      <w:r w:rsidRPr="009E514C">
        <w:rPr>
          <w:b/>
          <w:noProof/>
          <w:sz w:val="20"/>
          <w:szCs w:val="15"/>
        </w:rPr>
        <w:t>Monitorace pacienta je NUTNÁ!</w:t>
      </w:r>
    </w:p>
    <w:p w:rsidR="009E514C" w:rsidRPr="009E514C" w:rsidRDefault="009E514C" w:rsidP="009E514C">
      <w:pPr>
        <w:ind w:left="1069"/>
        <w:rPr>
          <w:b/>
          <w:noProof/>
          <w:sz w:val="20"/>
          <w:szCs w:val="15"/>
        </w:rPr>
      </w:pPr>
    </w:p>
    <w:p w:rsidR="00BD572E" w:rsidRPr="00BD572E" w:rsidRDefault="00BD572E" w:rsidP="009E514C">
      <w:pPr>
        <w:pStyle w:val="Odstavecseseznamem"/>
        <w:ind w:left="1429"/>
        <w:rPr>
          <w:b/>
          <w:noProof/>
          <w:sz w:val="20"/>
          <w:szCs w:val="15"/>
        </w:rPr>
      </w:pPr>
    </w:p>
    <w:p w:rsidR="004A5167" w:rsidRPr="004A5167" w:rsidRDefault="004A5167" w:rsidP="004A5167">
      <w:pPr>
        <w:rPr>
          <w:b/>
          <w:noProof/>
          <w:sz w:val="20"/>
          <w:szCs w:val="15"/>
        </w:rPr>
      </w:pPr>
    </w:p>
    <w:p w:rsidR="004A5167" w:rsidRDefault="004A5167"/>
    <w:p w:rsidR="004A5167" w:rsidRDefault="004A5167"/>
    <w:p w:rsidR="004A5167" w:rsidRDefault="004A5167"/>
    <w:p w:rsidR="009E514C" w:rsidRDefault="009E514C" w:rsidP="009E514C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52078157" wp14:editId="04F9D162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9" name="Obrázek 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9E514C" w:rsidRDefault="009E514C" w:rsidP="009E514C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9E514C" w:rsidRDefault="009E514C" w:rsidP="009E514C"/>
    <w:p w:rsidR="009E514C" w:rsidRDefault="009E514C" w:rsidP="009E514C"/>
    <w:p w:rsidR="009E514C" w:rsidRDefault="009E514C" w:rsidP="009E514C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494FB5AA" wp14:editId="11F90983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6" name="Obrázek 6" descr="Obsah obrázku snímek obrazovky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14C" w:rsidRDefault="009E514C" w:rsidP="009E514C">
      <w:pPr>
        <w:rPr>
          <w:b/>
          <w:noProof/>
          <w:sz w:val="32"/>
        </w:rPr>
      </w:pPr>
      <w:r>
        <w:t xml:space="preserve">                                                                 </w:t>
      </w:r>
      <w:r>
        <w:t xml:space="preserve">    </w:t>
      </w:r>
      <w:r>
        <w:rPr>
          <w:b/>
          <w:noProof/>
          <w:sz w:val="32"/>
        </w:rPr>
        <w:t>Zofran</w:t>
      </w:r>
    </w:p>
    <w:p w:rsidR="009E514C" w:rsidRDefault="009E514C" w:rsidP="009E514C">
      <w:pPr>
        <w:rPr>
          <w:b/>
          <w:noProof/>
          <w:sz w:val="20"/>
          <w:szCs w:val="15"/>
        </w:rPr>
      </w:pPr>
      <w:r>
        <w:rPr>
          <w:b/>
          <w:noProof/>
          <w:sz w:val="32"/>
        </w:rPr>
        <w:t xml:space="preserve">           </w:t>
      </w:r>
    </w:p>
    <w:p w:rsidR="009E514C" w:rsidRPr="009E514C" w:rsidRDefault="009E514C" w:rsidP="009E514C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>
        <w:rPr>
          <w:b/>
          <w:noProof/>
          <w:sz w:val="20"/>
          <w:szCs w:val="15"/>
        </w:rPr>
        <w:t xml:space="preserve">Antiemetikum </w:t>
      </w:r>
    </w:p>
    <w:p w:rsidR="009E514C" w:rsidRPr="009E514C" w:rsidRDefault="009E514C" w:rsidP="009E514C">
      <w:pPr>
        <w:rPr>
          <w:bCs/>
          <w:noProof/>
          <w:sz w:val="20"/>
          <w:szCs w:val="15"/>
        </w:rPr>
      </w:pPr>
    </w:p>
    <w:p w:rsidR="009E514C" w:rsidRPr="009E514C" w:rsidRDefault="009E514C" w:rsidP="009E514C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 w:rsidRPr="009E514C">
        <w:rPr>
          <w:b/>
          <w:noProof/>
          <w:sz w:val="20"/>
          <w:szCs w:val="15"/>
        </w:rPr>
        <w:t>Indikace:</w:t>
      </w:r>
      <w:r>
        <w:rPr>
          <w:b/>
          <w:noProof/>
          <w:sz w:val="20"/>
          <w:szCs w:val="15"/>
        </w:rPr>
        <w:t xml:space="preserve"> </w:t>
      </w:r>
      <w:r w:rsidRPr="009E514C">
        <w:rPr>
          <w:bCs/>
          <w:noProof/>
          <w:sz w:val="20"/>
          <w:szCs w:val="15"/>
        </w:rPr>
        <w:t xml:space="preserve">léčba nevoolnosti a zvracení způsobených protinádorovou </w:t>
      </w:r>
    </w:p>
    <w:p w:rsid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  <w:r>
        <w:rPr>
          <w:bCs/>
          <w:noProof/>
          <w:sz w:val="20"/>
          <w:szCs w:val="15"/>
        </w:rPr>
        <w:t>c</w:t>
      </w:r>
      <w:r w:rsidRPr="009E514C">
        <w:rPr>
          <w:bCs/>
          <w:noProof/>
          <w:sz w:val="20"/>
          <w:szCs w:val="15"/>
        </w:rPr>
        <w:t>hemoterapií a radioterapií, tajé léčba pooperační nevolnosti a zvracení</w:t>
      </w:r>
    </w:p>
    <w:p w:rsidR="009E514C" w:rsidRP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</w:p>
    <w:p w:rsidR="009E514C" w:rsidRDefault="009E514C" w:rsidP="009E514C">
      <w:pPr>
        <w:pStyle w:val="Odstavecseseznamem"/>
        <w:numPr>
          <w:ilvl w:val="0"/>
          <w:numId w:val="4"/>
        </w:numPr>
        <w:rPr>
          <w:bCs/>
          <w:noProof/>
          <w:sz w:val="20"/>
          <w:szCs w:val="15"/>
        </w:rPr>
      </w:pPr>
      <w:r w:rsidRPr="009E514C">
        <w:rPr>
          <w:b/>
          <w:noProof/>
          <w:sz w:val="20"/>
          <w:szCs w:val="15"/>
        </w:rPr>
        <w:t>Kontraindikace:</w:t>
      </w:r>
      <w:r w:rsidRPr="009E514C">
        <w:rPr>
          <w:bCs/>
          <w:noProof/>
          <w:sz w:val="20"/>
          <w:szCs w:val="15"/>
        </w:rPr>
        <w:t xml:space="preserve"> </w:t>
      </w:r>
      <w:r>
        <w:rPr>
          <w:bCs/>
          <w:noProof/>
          <w:sz w:val="20"/>
          <w:szCs w:val="15"/>
        </w:rPr>
        <w:t xml:space="preserve">hypersenzitiva na léčivou látku, současné podávání s </w:t>
      </w:r>
    </w:p>
    <w:p w:rsid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  <w:r w:rsidRPr="009E514C">
        <w:rPr>
          <w:bCs/>
          <w:noProof/>
          <w:sz w:val="20"/>
          <w:szCs w:val="15"/>
        </w:rPr>
        <w:t>Apomorfinem</w:t>
      </w:r>
    </w:p>
    <w:p w:rsidR="009E514C" w:rsidRPr="009E514C" w:rsidRDefault="009E514C" w:rsidP="009E514C">
      <w:pPr>
        <w:pStyle w:val="Odstavecseseznamem"/>
        <w:ind w:left="1429"/>
        <w:rPr>
          <w:bCs/>
          <w:noProof/>
          <w:sz w:val="20"/>
          <w:szCs w:val="15"/>
        </w:rPr>
      </w:pPr>
    </w:p>
    <w:p w:rsidR="004A5167" w:rsidRPr="009E514C" w:rsidRDefault="009E514C" w:rsidP="009E514C">
      <w:pPr>
        <w:pStyle w:val="Odstavecseseznamem"/>
        <w:numPr>
          <w:ilvl w:val="0"/>
          <w:numId w:val="4"/>
        </w:numPr>
      </w:pPr>
      <w:r w:rsidRPr="009E514C">
        <w:rPr>
          <w:b/>
          <w:noProof/>
          <w:sz w:val="20"/>
          <w:szCs w:val="15"/>
        </w:rPr>
        <w:t>Nežádoucí účinky:</w:t>
      </w:r>
      <w:r w:rsidRPr="009E514C">
        <w:rPr>
          <w:bCs/>
          <w:noProof/>
          <w:sz w:val="20"/>
          <w:szCs w:val="15"/>
        </w:rPr>
        <w:t xml:space="preserve"> </w:t>
      </w:r>
      <w:r>
        <w:rPr>
          <w:bCs/>
          <w:noProof/>
          <w:sz w:val="20"/>
          <w:szCs w:val="15"/>
        </w:rPr>
        <w:t>bolest hlavy, pocit tepla nebo zrudnutí, zácpa</w:t>
      </w:r>
    </w:p>
    <w:p w:rsidR="009E514C" w:rsidRPr="009E514C" w:rsidRDefault="009E514C" w:rsidP="009E514C">
      <w:pPr>
        <w:pStyle w:val="Odstavecseseznamem"/>
        <w:ind w:left="1429"/>
      </w:pPr>
    </w:p>
    <w:p w:rsidR="009E514C" w:rsidRDefault="009E514C" w:rsidP="009E514C">
      <w:pPr>
        <w:pStyle w:val="Odstavecseseznamem"/>
        <w:numPr>
          <w:ilvl w:val="0"/>
          <w:numId w:val="4"/>
        </w:numPr>
      </w:pPr>
      <w:r>
        <w:rPr>
          <w:b/>
          <w:noProof/>
          <w:sz w:val="20"/>
          <w:szCs w:val="15"/>
        </w:rPr>
        <w:t>Léková forma:</w:t>
      </w:r>
      <w:r>
        <w:t xml:space="preserve"> tablety, </w:t>
      </w:r>
      <w:proofErr w:type="spellStart"/>
      <w:r>
        <w:t>inj</w:t>
      </w:r>
      <w:proofErr w:type="spellEnd"/>
      <w:r>
        <w:t>. roztok, čípek</w:t>
      </w:r>
    </w:p>
    <w:p w:rsidR="009E514C" w:rsidRPr="009E514C" w:rsidRDefault="009E514C" w:rsidP="009E514C">
      <w:r>
        <w:rPr>
          <w:b/>
          <w:noProof/>
          <w:sz w:val="20"/>
          <w:szCs w:val="15"/>
        </w:rPr>
        <w:t xml:space="preserve">                                    </w:t>
      </w:r>
      <w:r w:rsidRPr="009E514C">
        <w:rPr>
          <w:b/>
          <w:noProof/>
          <w:sz w:val="20"/>
          <w:szCs w:val="15"/>
        </w:rPr>
        <w:t>Neměl by se podávat během prvního trimestru těhotenství</w:t>
      </w:r>
    </w:p>
    <w:p w:rsidR="009E514C" w:rsidRDefault="009E514C" w:rsidP="009E514C">
      <w:pPr>
        <w:pStyle w:val="Odstavecseseznamem"/>
        <w:ind w:left="1429"/>
      </w:pPr>
    </w:p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p w:rsidR="004A5167" w:rsidRDefault="004A5167"/>
    <w:sectPr w:rsidR="004A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F015A4"/>
    <w:multiLevelType w:val="hybridMultilevel"/>
    <w:tmpl w:val="40740D6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EC47BD"/>
    <w:multiLevelType w:val="hybridMultilevel"/>
    <w:tmpl w:val="E806ED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4855D6"/>
    <w:multiLevelType w:val="hybridMultilevel"/>
    <w:tmpl w:val="6C9ACE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65"/>
    <w:rsid w:val="0002063F"/>
    <w:rsid w:val="000B7A33"/>
    <w:rsid w:val="00307E8F"/>
    <w:rsid w:val="004A5167"/>
    <w:rsid w:val="005F2C23"/>
    <w:rsid w:val="00622165"/>
    <w:rsid w:val="006972E8"/>
    <w:rsid w:val="00761C48"/>
    <w:rsid w:val="00856649"/>
    <w:rsid w:val="009E514C"/>
    <w:rsid w:val="00A04702"/>
    <w:rsid w:val="00A05C94"/>
    <w:rsid w:val="00A2535F"/>
    <w:rsid w:val="00A268D1"/>
    <w:rsid w:val="00A57656"/>
    <w:rsid w:val="00AA2931"/>
    <w:rsid w:val="00BD572E"/>
    <w:rsid w:val="00C00877"/>
    <w:rsid w:val="00C30103"/>
    <w:rsid w:val="00CC5588"/>
    <w:rsid w:val="00D04595"/>
    <w:rsid w:val="00D41E09"/>
    <w:rsid w:val="00D42993"/>
    <w:rsid w:val="00E47E56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1AAD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paragraph" w:styleId="Bezmezer">
    <w:name w:val="No Spacing"/>
    <w:uiPriority w:val="1"/>
    <w:qFormat/>
    <w:rsid w:val="00856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Michaela Kulovaná</cp:lastModifiedBy>
  <cp:revision>3</cp:revision>
  <dcterms:created xsi:type="dcterms:W3CDTF">2020-03-08T20:02:00Z</dcterms:created>
  <dcterms:modified xsi:type="dcterms:W3CDTF">2020-06-30T17:09:00Z</dcterms:modified>
</cp:coreProperties>
</file>