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6AE0C3" w14:textId="7FF48878" w:rsidR="00A51914" w:rsidRPr="00D05A60" w:rsidRDefault="00A51914" w:rsidP="00D05A60">
      <w:pPr>
        <w:pStyle w:val="Odstavecseseznamem"/>
        <w:spacing w:line="360" w:lineRule="auto"/>
        <w:ind w:left="0"/>
        <w:jc w:val="both"/>
        <w:rPr>
          <w:b/>
          <w:bCs/>
        </w:rPr>
      </w:pPr>
      <w:r w:rsidRPr="00D05A60">
        <w:rPr>
          <w:b/>
          <w:bCs/>
        </w:rPr>
        <w:t>Analytická fáze</w:t>
      </w:r>
    </w:p>
    <w:p w14:paraId="703D4412" w14:textId="77777777" w:rsidR="0066499E" w:rsidRDefault="0066499E" w:rsidP="006966B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570F01">
        <w:rPr>
          <w:rFonts w:ascii="Times New Roman" w:hAnsi="Times New Roman" w:cs="Times New Roman"/>
          <w:b/>
          <w:sz w:val="24"/>
          <w:szCs w:val="24"/>
          <w:u w:val="single"/>
        </w:rPr>
        <w:t>Nároky na analytické metody používané v klinické biochemii</w:t>
      </w:r>
      <w:r>
        <w:rPr>
          <w:rFonts w:ascii="Times New Roman" w:hAnsi="Times New Roman" w:cs="Times New Roman"/>
          <w:sz w:val="24"/>
          <w:szCs w:val="24"/>
          <w:u w:val="single"/>
        </w:rPr>
        <w:t>:</w:t>
      </w:r>
    </w:p>
    <w:p w14:paraId="79695F52" w14:textId="77777777" w:rsidR="0066499E" w:rsidRDefault="0066499E" w:rsidP="0066499E">
      <w:pPr>
        <w:pStyle w:val="Odstavecseseznamem"/>
        <w:numPr>
          <w:ilvl w:val="0"/>
          <w:numId w:val="10"/>
        </w:numPr>
        <w:spacing w:line="360" w:lineRule="auto"/>
        <w:jc w:val="both"/>
      </w:pPr>
      <w:r>
        <w:t>Metody musejí být spolehlivé (validní – validaci provádí laboratoř, která metodu vyvinula, či výrobce dané diagnostické soupravy)</w:t>
      </w:r>
    </w:p>
    <w:p w14:paraId="5A7AC57F" w14:textId="77777777" w:rsidR="0066499E" w:rsidRDefault="0066499E" w:rsidP="0066499E">
      <w:pPr>
        <w:pStyle w:val="Odstavecseseznamem"/>
        <w:numPr>
          <w:ilvl w:val="0"/>
          <w:numId w:val="10"/>
        </w:numPr>
        <w:spacing w:line="360" w:lineRule="auto"/>
        <w:jc w:val="both"/>
      </w:pPr>
      <w:r>
        <w:t xml:space="preserve">V procesu validace jsou hodnocena kritéria jako: </w:t>
      </w:r>
      <w:r w:rsidR="00326194">
        <w:t xml:space="preserve">citlivost, </w:t>
      </w:r>
      <w:r>
        <w:t>mez detekce, mez stanovitelnosti, specifičnost metody, linearita, měřící rozsah, preciznost, proveditelnost a porovnatelnost</w:t>
      </w:r>
    </w:p>
    <w:p w14:paraId="32F78AF4" w14:textId="77777777" w:rsidR="0066499E" w:rsidRDefault="0066499E" w:rsidP="0066499E">
      <w:pPr>
        <w:pStyle w:val="Odstavecseseznamem"/>
        <w:numPr>
          <w:ilvl w:val="0"/>
          <w:numId w:val="10"/>
        </w:numPr>
        <w:spacing w:line="360" w:lineRule="auto"/>
        <w:jc w:val="both"/>
      </w:pPr>
      <w:r>
        <w:t>Musí dlouhodobě vyhovovat v procesu kontroly kvality</w:t>
      </w:r>
    </w:p>
    <w:p w14:paraId="5D9A891B" w14:textId="77777777" w:rsidR="0066499E" w:rsidRPr="0066499E" w:rsidRDefault="0066499E" w:rsidP="0066499E">
      <w:pPr>
        <w:pStyle w:val="Odstavecseseznamem"/>
        <w:numPr>
          <w:ilvl w:val="0"/>
          <w:numId w:val="10"/>
        </w:numPr>
        <w:spacing w:line="360" w:lineRule="auto"/>
        <w:jc w:val="both"/>
      </w:pPr>
      <w:r>
        <w:t>Musí být pravidelně verifikovány – tedy musí být ověřena platnost závěrů validace metody</w:t>
      </w:r>
    </w:p>
    <w:p w14:paraId="0C8AC22E" w14:textId="77777777" w:rsidR="00326194" w:rsidRDefault="00326194" w:rsidP="006966B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Citlivost</w:t>
      </w:r>
      <w:r w:rsidR="007E0D60" w:rsidRPr="007E0D60">
        <w:rPr>
          <w:rFonts w:ascii="Times New Roman" w:hAnsi="Times New Roman" w:cs="Times New Roman"/>
          <w:sz w:val="24"/>
          <w:szCs w:val="24"/>
        </w:rPr>
        <w:t xml:space="preserve"> =</w:t>
      </w:r>
      <w:r w:rsidR="006A7FD8">
        <w:rPr>
          <w:rFonts w:ascii="Times New Roman" w:hAnsi="Times New Roman" w:cs="Times New Roman"/>
          <w:sz w:val="24"/>
          <w:szCs w:val="24"/>
        </w:rPr>
        <w:t xml:space="preserve"> </w:t>
      </w:r>
      <w:r w:rsidR="007E0D60">
        <w:rPr>
          <w:rFonts w:ascii="Times New Roman" w:hAnsi="Times New Roman" w:cs="Times New Roman"/>
          <w:sz w:val="24"/>
          <w:szCs w:val="24"/>
        </w:rPr>
        <w:t>Koncentrace analytu, která vyvolá nejmenší měřitelnou odezvu detektoru</w:t>
      </w:r>
      <w:r w:rsidR="000E41C8">
        <w:rPr>
          <w:rFonts w:ascii="Times New Roman" w:hAnsi="Times New Roman" w:cs="Times New Roman"/>
          <w:sz w:val="24"/>
          <w:szCs w:val="24"/>
        </w:rPr>
        <w:t xml:space="preserve"> (při nulovém přístrojovém šumu)</w:t>
      </w:r>
      <w:r w:rsidR="007E0D60">
        <w:rPr>
          <w:rFonts w:ascii="Times New Roman" w:hAnsi="Times New Roman" w:cs="Times New Roman"/>
          <w:sz w:val="24"/>
          <w:szCs w:val="24"/>
        </w:rPr>
        <w:t>.</w:t>
      </w:r>
      <w:r w:rsidR="000E41C8">
        <w:rPr>
          <w:rFonts w:ascii="Times New Roman" w:hAnsi="Times New Roman" w:cs="Times New Roman"/>
          <w:sz w:val="24"/>
          <w:szCs w:val="24"/>
        </w:rPr>
        <w:t xml:space="preserve"> (Měří se postupně se zmenšující koncentrace analytu a zaznamenává se odezva detektoru – poté se vynese do grafu – závislost odezvy detektoru (osa y) na koncentraci analytu (osa x). Čím strmější je daná kalibrační přímka, tím je metoda citlivější = tedy čím vyšší odezva detektoru na danou koncentraci, tím citlivější metoda.</w:t>
      </w:r>
    </w:p>
    <w:p w14:paraId="42480B5E" w14:textId="77777777" w:rsidR="000E41C8" w:rsidRPr="007E0D60" w:rsidRDefault="00687F9F" w:rsidP="006966B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687F9F">
        <w:rPr>
          <w:noProof/>
          <w:lang w:eastAsia="cs-CZ"/>
        </w:rPr>
        <w:drawing>
          <wp:inline distT="0" distB="0" distL="0" distR="0" wp14:anchorId="6ADE8BC7" wp14:editId="76A5467A">
            <wp:extent cx="5104800" cy="2509200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4800" cy="250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E8F8E0" w14:textId="13F7D1EC" w:rsidR="007E6C83" w:rsidRDefault="007E6C83" w:rsidP="006966B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Mez detekce</w:t>
      </w:r>
      <w:r>
        <w:rPr>
          <w:rFonts w:ascii="Times New Roman" w:hAnsi="Times New Roman" w:cs="Times New Roman"/>
          <w:sz w:val="24"/>
          <w:szCs w:val="24"/>
        </w:rPr>
        <w:t xml:space="preserve"> = nejmenší koncentrace analytu, kterou lze danou vyšetřovací metodou dokázat/identifikovat = tedy koncentraci, kterou lze bezpečně odlišit od přístrojového šumu. </w:t>
      </w:r>
    </w:p>
    <w:p w14:paraId="64A0A082" w14:textId="253D103B" w:rsidR="001A060E" w:rsidRDefault="001A060E" w:rsidP="0024116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060E">
        <w:rPr>
          <w:rFonts w:ascii="Times New Roman" w:hAnsi="Times New Roman" w:cs="Times New Roman"/>
          <w:sz w:val="24"/>
          <w:szCs w:val="24"/>
          <w:u w:val="single"/>
        </w:rPr>
        <w:t>Mez stanovitelnosti</w:t>
      </w:r>
      <w:r>
        <w:rPr>
          <w:rFonts w:ascii="Times New Roman" w:hAnsi="Times New Roman" w:cs="Times New Roman"/>
          <w:sz w:val="24"/>
          <w:szCs w:val="24"/>
        </w:rPr>
        <w:t xml:space="preserve"> = </w:t>
      </w:r>
      <w:r w:rsidR="0024116A">
        <w:rPr>
          <w:rFonts w:ascii="Times New Roman" w:hAnsi="Times New Roman" w:cs="Times New Roman"/>
          <w:sz w:val="24"/>
          <w:szCs w:val="24"/>
        </w:rPr>
        <w:t>nejmenší koncentrace analytu, kterou lze danou vyšetřovací metodou stanovit s požadovanou mírou nejistoty měření.</w:t>
      </w:r>
      <w:r w:rsidR="00AC28C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13A9417" w14:textId="686405AD" w:rsidR="0045246F" w:rsidRDefault="0045246F" w:rsidP="0024116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765A">
        <w:rPr>
          <w:rFonts w:ascii="Times New Roman" w:hAnsi="Times New Roman" w:cs="Times New Roman"/>
          <w:sz w:val="24"/>
          <w:szCs w:val="24"/>
          <w:u w:val="single"/>
        </w:rPr>
        <w:t>Specifičnost metody</w:t>
      </w:r>
      <w:r>
        <w:rPr>
          <w:rFonts w:ascii="Times New Roman" w:hAnsi="Times New Roman" w:cs="Times New Roman"/>
          <w:sz w:val="24"/>
          <w:szCs w:val="24"/>
        </w:rPr>
        <w:t xml:space="preserve"> = </w:t>
      </w:r>
      <w:r w:rsidR="00BB1D26">
        <w:rPr>
          <w:rFonts w:ascii="Times New Roman" w:hAnsi="Times New Roman" w:cs="Times New Roman"/>
          <w:sz w:val="24"/>
          <w:szCs w:val="24"/>
        </w:rPr>
        <w:t>udává, jak moc je daná metoda specifická pro daný analyt. Látky, které se chovají podobně, jako vyšetřovaný analyt a tak ovlivňují výsledek vyšetření, se n</w:t>
      </w:r>
      <w:r w:rsidR="00BA765A">
        <w:rPr>
          <w:rFonts w:ascii="Times New Roman" w:hAnsi="Times New Roman" w:cs="Times New Roman"/>
          <w:sz w:val="24"/>
          <w:szCs w:val="24"/>
        </w:rPr>
        <w:t xml:space="preserve">azývají analytické </w:t>
      </w:r>
      <w:proofErr w:type="spellStart"/>
      <w:r w:rsidR="00BA765A">
        <w:rPr>
          <w:rFonts w:ascii="Times New Roman" w:hAnsi="Times New Roman" w:cs="Times New Roman"/>
          <w:sz w:val="24"/>
          <w:szCs w:val="24"/>
        </w:rPr>
        <w:t>interferenty</w:t>
      </w:r>
      <w:proofErr w:type="spellEnd"/>
      <w:r w:rsidR="008B02B9">
        <w:rPr>
          <w:rFonts w:ascii="Times New Roman" w:hAnsi="Times New Roman" w:cs="Times New Roman"/>
          <w:sz w:val="24"/>
          <w:szCs w:val="24"/>
        </w:rPr>
        <w:t>.</w:t>
      </w:r>
    </w:p>
    <w:p w14:paraId="3F4FE94F" w14:textId="77777777" w:rsidR="00AB748A" w:rsidRDefault="00AB748A" w:rsidP="0024116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lastRenderedPageBreak/>
        <w:t>Spolehlivost laboratorního vyšetření</w:t>
      </w:r>
      <w:r>
        <w:rPr>
          <w:rFonts w:ascii="Times New Roman" w:hAnsi="Times New Roman" w:cs="Times New Roman"/>
          <w:sz w:val="24"/>
          <w:szCs w:val="24"/>
        </w:rPr>
        <w:t xml:space="preserve"> = schopnost určit pro danou metodu míru nejistoty  dosaženého výsledku (tedy přesnost a správnost měření) v nezávislosti na koncentraci analytu.</w:t>
      </w:r>
    </w:p>
    <w:p w14:paraId="77B642F4" w14:textId="6F5DD33A" w:rsidR="008D4971" w:rsidRDefault="008D4971" w:rsidP="0024116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Správnost = </w:t>
      </w:r>
      <w:r w:rsidR="00640E9A">
        <w:rPr>
          <w:rFonts w:ascii="Times New Roman" w:hAnsi="Times New Roman" w:cs="Times New Roman"/>
          <w:sz w:val="24"/>
          <w:szCs w:val="24"/>
          <w:u w:val="single"/>
        </w:rPr>
        <w:t xml:space="preserve">přesnost </w:t>
      </w:r>
      <w:r>
        <w:rPr>
          <w:rFonts w:ascii="Times New Roman" w:hAnsi="Times New Roman" w:cs="Times New Roman"/>
          <w:sz w:val="24"/>
          <w:szCs w:val="24"/>
          <w:u w:val="single"/>
        </w:rPr>
        <w:t>vyšetření)</w:t>
      </w:r>
      <w:r>
        <w:rPr>
          <w:rFonts w:ascii="Times New Roman" w:hAnsi="Times New Roman" w:cs="Times New Roman"/>
          <w:sz w:val="24"/>
          <w:szCs w:val="24"/>
        </w:rPr>
        <w:t xml:space="preserve"> = </w:t>
      </w:r>
      <w:r w:rsidR="00AC159D">
        <w:rPr>
          <w:rFonts w:ascii="Times New Roman" w:hAnsi="Times New Roman" w:cs="Times New Roman"/>
          <w:sz w:val="24"/>
          <w:szCs w:val="24"/>
        </w:rPr>
        <w:t xml:space="preserve">shoda naměřené hodnoty se skutečnou hodnotou (hodnotou stanovenou referenční laboratoří). </w:t>
      </w:r>
    </w:p>
    <w:p w14:paraId="26338C58" w14:textId="77777777" w:rsidR="00467E4D" w:rsidRPr="008D4971" w:rsidRDefault="00467E4D" w:rsidP="0024116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cs-CZ"/>
        </w:rPr>
        <w:drawing>
          <wp:inline distT="0" distB="0" distL="0" distR="0" wp14:anchorId="3D8DB9D2" wp14:editId="011E7EBE">
            <wp:extent cx="2901600" cy="2923200"/>
            <wp:effectExtent l="0" t="0" r="0" b="0"/>
            <wp:docPr id="3" name="Obrázek 3" descr="Image result for přesnost správno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Image result for přesnost správnost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1600" cy="292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EC5FC4" w14:textId="7D7D5DAA" w:rsidR="00467E4D" w:rsidRDefault="00943CE9" w:rsidP="00640E9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3CE9">
        <w:rPr>
          <w:rFonts w:ascii="Times New Roman" w:hAnsi="Times New Roman" w:cs="Times New Roman"/>
          <w:sz w:val="24"/>
          <w:szCs w:val="24"/>
          <w:u w:val="single"/>
        </w:rPr>
        <w:t>Přesnost = preciznost metody</w:t>
      </w:r>
      <w:r w:rsidR="00FA1F7B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943CE9">
        <w:rPr>
          <w:rFonts w:ascii="Times New Roman" w:hAnsi="Times New Roman" w:cs="Times New Roman"/>
          <w:sz w:val="24"/>
          <w:szCs w:val="24"/>
          <w:u w:val="single"/>
        </w:rPr>
        <w:t>(vyšetření)</w:t>
      </w:r>
      <w:r>
        <w:rPr>
          <w:rFonts w:ascii="Times New Roman" w:hAnsi="Times New Roman" w:cs="Times New Roman"/>
          <w:sz w:val="24"/>
          <w:szCs w:val="24"/>
        </w:rPr>
        <w:t xml:space="preserve"> = těsnost shody naměřených hodnot při opakované analýze </w:t>
      </w:r>
      <w:r w:rsidR="00FA1F7B">
        <w:rPr>
          <w:rFonts w:ascii="Times New Roman" w:hAnsi="Times New Roman" w:cs="Times New Roman"/>
          <w:sz w:val="24"/>
          <w:szCs w:val="24"/>
        </w:rPr>
        <w:t xml:space="preserve">= rozptyl naměřených hodnot okolo jejich průměru. </w:t>
      </w:r>
    </w:p>
    <w:p w14:paraId="1C22B4A0" w14:textId="77777777" w:rsidR="00112138" w:rsidRDefault="00112138" w:rsidP="0011213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12138">
        <w:rPr>
          <w:rFonts w:ascii="Times New Roman" w:hAnsi="Times New Roman" w:cs="Times New Roman"/>
          <w:sz w:val="24"/>
          <w:szCs w:val="24"/>
          <w:u w:val="single"/>
        </w:rPr>
        <w:t>Opakovatelnost měření</w:t>
      </w:r>
      <w:r>
        <w:rPr>
          <w:rFonts w:ascii="Times New Roman" w:hAnsi="Times New Roman" w:cs="Times New Roman"/>
          <w:sz w:val="24"/>
          <w:szCs w:val="24"/>
        </w:rPr>
        <w:t xml:space="preserve"> = </w:t>
      </w:r>
      <w:r w:rsidR="000463EE">
        <w:rPr>
          <w:rFonts w:ascii="Times New Roman" w:hAnsi="Times New Roman" w:cs="Times New Roman"/>
          <w:sz w:val="24"/>
          <w:szCs w:val="24"/>
        </w:rPr>
        <w:t>vysoká preciznost metody dosažená v rámci jedné analytické série = tedy vzorek opakovaně měříme ve stejný den, na stejném přístroji, měří ta stejná osoba, po stejné kalibraci, za úplně stejných podmínek (teplota, stejná šarže chemikálií)</w:t>
      </w:r>
      <w:r w:rsidR="00522C61">
        <w:rPr>
          <w:rFonts w:ascii="Times New Roman" w:hAnsi="Times New Roman" w:cs="Times New Roman"/>
          <w:sz w:val="24"/>
          <w:szCs w:val="24"/>
        </w:rPr>
        <w:t>.</w:t>
      </w:r>
    </w:p>
    <w:p w14:paraId="6FE85D55" w14:textId="77777777" w:rsidR="00F77B40" w:rsidRPr="00AB748A" w:rsidRDefault="00F77B40" w:rsidP="0011213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77B40">
        <w:rPr>
          <w:rFonts w:ascii="Times New Roman" w:hAnsi="Times New Roman" w:cs="Times New Roman"/>
          <w:sz w:val="24"/>
          <w:szCs w:val="24"/>
          <w:u w:val="single"/>
        </w:rPr>
        <w:t>Reprodukovatelnost měření</w:t>
      </w:r>
      <w:r>
        <w:rPr>
          <w:rFonts w:ascii="Times New Roman" w:hAnsi="Times New Roman" w:cs="Times New Roman"/>
          <w:sz w:val="24"/>
          <w:szCs w:val="24"/>
        </w:rPr>
        <w:t xml:space="preserve"> = preciznost metody se testuje mezilaboratorními porovnávacími zkouškami</w:t>
      </w:r>
    </w:p>
    <w:p w14:paraId="40517BE4" w14:textId="77777777" w:rsidR="009B449C" w:rsidRDefault="004479E6" w:rsidP="0024116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79E6">
        <w:rPr>
          <w:rFonts w:ascii="Times New Roman" w:hAnsi="Times New Roman" w:cs="Times New Roman"/>
          <w:sz w:val="24"/>
          <w:szCs w:val="24"/>
          <w:u w:val="single"/>
        </w:rPr>
        <w:t>Porovnatelnost metody</w:t>
      </w:r>
      <w:r>
        <w:rPr>
          <w:rFonts w:ascii="Times New Roman" w:hAnsi="Times New Roman" w:cs="Times New Roman"/>
          <w:sz w:val="24"/>
          <w:szCs w:val="24"/>
        </w:rPr>
        <w:t xml:space="preserve"> = srovnání výsledků získaných nově zavedenou metodou s výsledky získanými referenční metodou. Obě metody by měly vykazovat stejný trend. Srovnání se provádí s pomocí tzv. </w:t>
      </w:r>
      <w:r w:rsidRPr="00435C51">
        <w:rPr>
          <w:rFonts w:ascii="Times New Roman" w:hAnsi="Times New Roman" w:cs="Times New Roman"/>
          <w:b/>
          <w:sz w:val="24"/>
          <w:szCs w:val="24"/>
        </w:rPr>
        <w:t>korelačního koeficientu</w:t>
      </w:r>
      <w:r>
        <w:rPr>
          <w:rFonts w:ascii="Times New Roman" w:hAnsi="Times New Roman" w:cs="Times New Roman"/>
          <w:sz w:val="24"/>
          <w:szCs w:val="24"/>
        </w:rPr>
        <w:t xml:space="preserve">, za dobrou shodu mezi výsledky je považován koeficient větší než 0,9. </w:t>
      </w:r>
    </w:p>
    <w:p w14:paraId="110AB6F8" w14:textId="77777777" w:rsidR="00BB111E" w:rsidRDefault="00BB111E" w:rsidP="0024116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111E">
        <w:rPr>
          <w:rFonts w:ascii="Times New Roman" w:hAnsi="Times New Roman" w:cs="Times New Roman"/>
          <w:sz w:val="24"/>
          <w:szCs w:val="24"/>
          <w:u w:val="single"/>
        </w:rPr>
        <w:t>Linearita</w:t>
      </w:r>
      <w:r>
        <w:rPr>
          <w:rFonts w:ascii="Times New Roman" w:hAnsi="Times New Roman" w:cs="Times New Roman"/>
          <w:sz w:val="24"/>
          <w:szCs w:val="24"/>
        </w:rPr>
        <w:t xml:space="preserve"> = </w:t>
      </w:r>
      <w:r w:rsidR="00917AE7">
        <w:rPr>
          <w:rFonts w:ascii="Times New Roman" w:hAnsi="Times New Roman" w:cs="Times New Roman"/>
          <w:sz w:val="24"/>
          <w:szCs w:val="24"/>
        </w:rPr>
        <w:t>určení rozsahu koncentrací, pro které platí lineární závislost mezi koncentrací a odezvou detektoru. Kalibrační závislost je pak dána obecnou rovnicí:</w:t>
      </w:r>
    </w:p>
    <w:p w14:paraId="6319F31A" w14:textId="77777777" w:rsidR="00917AE7" w:rsidRPr="007E6C83" w:rsidRDefault="00917AE7" w:rsidP="00E81B8A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y = </w:t>
      </w:r>
      <w:proofErr w:type="spellStart"/>
      <w:r>
        <w:rPr>
          <w:rFonts w:ascii="Times New Roman" w:hAnsi="Times New Roman" w:cs="Times New Roman"/>
          <w:sz w:val="24"/>
          <w:szCs w:val="24"/>
        </w:rPr>
        <w:t>ax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± b</w:t>
      </w:r>
    </w:p>
    <w:p w14:paraId="5604AC7A" w14:textId="77777777" w:rsidR="00080CBC" w:rsidRDefault="00080CBC" w:rsidP="006966BB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2D39E973" w14:textId="77777777" w:rsidR="00897DEF" w:rsidRPr="00CE4B22" w:rsidRDefault="00897DEF" w:rsidP="006966BB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E4B22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Kontrola kvality</w:t>
      </w:r>
    </w:p>
    <w:p w14:paraId="21BD9D8C" w14:textId="77777777" w:rsidR="00897DEF" w:rsidRPr="006966BB" w:rsidRDefault="00897DEF" w:rsidP="006966B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66BB">
        <w:rPr>
          <w:rFonts w:ascii="Times New Roman" w:hAnsi="Times New Roman" w:cs="Times New Roman"/>
          <w:b/>
          <w:sz w:val="24"/>
          <w:szCs w:val="24"/>
        </w:rPr>
        <w:t>Kontrolní materiál</w:t>
      </w:r>
      <w:r w:rsidRPr="006966BB">
        <w:rPr>
          <w:rFonts w:ascii="Times New Roman" w:hAnsi="Times New Roman" w:cs="Times New Roman"/>
          <w:sz w:val="24"/>
          <w:szCs w:val="24"/>
        </w:rPr>
        <w:t xml:space="preserve">: obsahuje vyšetřované analyty; musí být: stabilní, homogenní a neinfekční; může být kapalný – skladovaný v zamraženém stavu nebo lyofilizovaný. Ideální kontrolní materiál by měl mít co největší </w:t>
      </w:r>
      <w:proofErr w:type="spellStart"/>
      <w:r w:rsidRPr="006966BB">
        <w:rPr>
          <w:rFonts w:ascii="Times New Roman" w:hAnsi="Times New Roman" w:cs="Times New Roman"/>
          <w:b/>
          <w:sz w:val="24"/>
          <w:szCs w:val="24"/>
        </w:rPr>
        <w:t>komutabilitu</w:t>
      </w:r>
      <w:proofErr w:type="spellEnd"/>
      <w:r w:rsidRPr="006966BB">
        <w:rPr>
          <w:rFonts w:ascii="Times New Roman" w:hAnsi="Times New Roman" w:cs="Times New Roman"/>
          <w:sz w:val="24"/>
          <w:szCs w:val="24"/>
        </w:rPr>
        <w:t xml:space="preserve"> = tedy vlastnosti co nejbližší reálným biologickým vzorkům. Vysokou </w:t>
      </w:r>
      <w:proofErr w:type="spellStart"/>
      <w:r w:rsidRPr="006966BB">
        <w:rPr>
          <w:rFonts w:ascii="Times New Roman" w:hAnsi="Times New Roman" w:cs="Times New Roman"/>
          <w:sz w:val="24"/>
          <w:szCs w:val="24"/>
        </w:rPr>
        <w:t>komutabilitu</w:t>
      </w:r>
      <w:proofErr w:type="spellEnd"/>
      <w:r w:rsidRPr="006966BB">
        <w:rPr>
          <w:rFonts w:ascii="Times New Roman" w:hAnsi="Times New Roman" w:cs="Times New Roman"/>
          <w:sz w:val="24"/>
          <w:szCs w:val="24"/>
        </w:rPr>
        <w:t xml:space="preserve"> má materiál, kde se jako matrice používá lidské sérum nebo moč. </w:t>
      </w:r>
    </w:p>
    <w:p w14:paraId="0251C341" w14:textId="77777777" w:rsidR="00897DEF" w:rsidRPr="006966BB" w:rsidRDefault="00897DEF" w:rsidP="006966B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66BB">
        <w:rPr>
          <w:rFonts w:ascii="Times New Roman" w:hAnsi="Times New Roman" w:cs="Times New Roman"/>
          <w:b/>
          <w:sz w:val="24"/>
          <w:szCs w:val="24"/>
        </w:rPr>
        <w:t>Vnitřní (interní) kontrola kvality</w:t>
      </w:r>
      <w:r w:rsidRPr="006966BB">
        <w:rPr>
          <w:rFonts w:ascii="Times New Roman" w:hAnsi="Times New Roman" w:cs="Times New Roman"/>
          <w:sz w:val="24"/>
          <w:szCs w:val="24"/>
        </w:rPr>
        <w:t xml:space="preserve"> – je prováděna a vyhodnocována pracovníky laboratoře.</w:t>
      </w:r>
    </w:p>
    <w:p w14:paraId="15BC3B5B" w14:textId="77777777" w:rsidR="00897DEF" w:rsidRPr="006966BB" w:rsidRDefault="00897DEF" w:rsidP="006966BB">
      <w:pPr>
        <w:pStyle w:val="Odstavecseseznamem"/>
        <w:numPr>
          <w:ilvl w:val="0"/>
          <w:numId w:val="2"/>
        </w:numPr>
        <w:spacing w:after="200" w:line="360" w:lineRule="auto"/>
        <w:jc w:val="both"/>
      </w:pPr>
      <w:r w:rsidRPr="006966BB">
        <w:t>obvykle se používá kontrolní materiál se stanovenými proměnnými minimálně pro půlroční období – v to</w:t>
      </w:r>
      <w:r w:rsidR="00440142">
        <w:t>m</w:t>
      </w:r>
      <w:r w:rsidRPr="006966BB">
        <w:t>to období se používá neustále stejný druh, stejná šarže kontrolního materiálu stále od stejné firmy</w:t>
      </w:r>
    </w:p>
    <w:p w14:paraId="713DC203" w14:textId="77777777" w:rsidR="00897DEF" w:rsidRPr="006966BB" w:rsidRDefault="00897DEF" w:rsidP="006966BB">
      <w:pPr>
        <w:pStyle w:val="Odstavecseseznamem"/>
        <w:numPr>
          <w:ilvl w:val="0"/>
          <w:numId w:val="2"/>
        </w:numPr>
        <w:spacing w:after="200" w:line="360" w:lineRule="auto"/>
        <w:jc w:val="both"/>
      </w:pPr>
      <w:r w:rsidRPr="006966BB">
        <w:t>kontroly jsou dvojího druhu a) fyziologické (hodnota je v referenčních mezích) a patologické (hodnota je mimo referenční meze)</w:t>
      </w:r>
    </w:p>
    <w:p w14:paraId="6948E785" w14:textId="77777777" w:rsidR="00897DEF" w:rsidRPr="006966BB" w:rsidRDefault="00897DEF" w:rsidP="006966BB">
      <w:pPr>
        <w:pStyle w:val="Odstavecseseznamem"/>
        <w:numPr>
          <w:ilvl w:val="0"/>
          <w:numId w:val="2"/>
        </w:numPr>
        <w:spacing w:after="200" w:line="360" w:lineRule="auto"/>
        <w:jc w:val="both"/>
      </w:pPr>
      <w:r w:rsidRPr="006966BB">
        <w:t>u každé rutinní metody by se měly měřit oba kontrolní vzorky pro každou analytickou sérii</w:t>
      </w:r>
    </w:p>
    <w:p w14:paraId="2CE6D207" w14:textId="77777777" w:rsidR="00897DEF" w:rsidRPr="006966BB" w:rsidRDefault="00897DEF" w:rsidP="006966BB">
      <w:pPr>
        <w:pStyle w:val="Odstavecseseznamem"/>
        <w:numPr>
          <w:ilvl w:val="0"/>
          <w:numId w:val="2"/>
        </w:numPr>
        <w:spacing w:after="200" w:line="360" w:lineRule="auto"/>
        <w:jc w:val="both"/>
      </w:pPr>
      <w:r w:rsidRPr="006966BB">
        <w:t>naměřené hodnoty kontrolních vzorků by měly ležet v udaném referenčním rozpětí – poté je možno systém použít pro měření klinických vzorků</w:t>
      </w:r>
    </w:p>
    <w:p w14:paraId="2E1421EC" w14:textId="77777777" w:rsidR="00897DEF" w:rsidRPr="006966BB" w:rsidRDefault="00897DEF" w:rsidP="006966BB">
      <w:pPr>
        <w:pStyle w:val="Odstavecseseznamem"/>
        <w:numPr>
          <w:ilvl w:val="0"/>
          <w:numId w:val="2"/>
        </w:numPr>
        <w:spacing w:after="200" w:line="360" w:lineRule="auto"/>
        <w:jc w:val="both"/>
      </w:pPr>
      <w:r w:rsidRPr="006966BB">
        <w:t>naměřené hodnoty kontrol se zaznamenávají a jednou za měsíc se z nich vypočítá průměrná hodnota, která se zanáší do tzv. regulačního diagramu, pomocí kterého je sledována stabilita dané metody</w:t>
      </w:r>
    </w:p>
    <w:p w14:paraId="55662A3B" w14:textId="77777777" w:rsidR="00897DEF" w:rsidRPr="006966BB" w:rsidRDefault="00897DEF" w:rsidP="006966B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66BB">
        <w:rPr>
          <w:rFonts w:ascii="Times New Roman" w:hAnsi="Times New Roman" w:cs="Times New Roman"/>
          <w:b/>
          <w:sz w:val="24"/>
          <w:szCs w:val="24"/>
        </w:rPr>
        <w:t>Externí kontrola kvality</w:t>
      </w:r>
      <w:r w:rsidRPr="006966BB">
        <w:rPr>
          <w:rFonts w:ascii="Times New Roman" w:hAnsi="Times New Roman" w:cs="Times New Roman"/>
          <w:sz w:val="24"/>
          <w:szCs w:val="24"/>
        </w:rPr>
        <w:t xml:space="preserve"> – prováděna a vyhodnocována národní/nadnárodní institucí, která nemá žádné propojení s danou laboratoří, s firmou dodávající používané sety nebo analyzátory.</w:t>
      </w:r>
    </w:p>
    <w:p w14:paraId="4B6F0EEC" w14:textId="77777777" w:rsidR="00897DEF" w:rsidRPr="006966BB" w:rsidRDefault="00897DEF" w:rsidP="006966BB">
      <w:pPr>
        <w:pStyle w:val="Odstavecseseznamem"/>
        <w:numPr>
          <w:ilvl w:val="0"/>
          <w:numId w:val="3"/>
        </w:numPr>
        <w:spacing w:after="200" w:line="360" w:lineRule="auto"/>
        <w:jc w:val="both"/>
      </w:pPr>
      <w:r w:rsidRPr="006966BB">
        <w:t>Cílem je zajistit mezilaboratorní srovnatelnost rutinně prováděných analýz</w:t>
      </w:r>
    </w:p>
    <w:p w14:paraId="7E9C4660" w14:textId="77777777" w:rsidR="00897DEF" w:rsidRPr="006966BB" w:rsidRDefault="00897DEF" w:rsidP="006966BB">
      <w:pPr>
        <w:pStyle w:val="Odstavecseseznamem"/>
        <w:numPr>
          <w:ilvl w:val="0"/>
          <w:numId w:val="3"/>
        </w:numPr>
        <w:spacing w:after="200" w:line="360" w:lineRule="auto"/>
        <w:jc w:val="both"/>
      </w:pPr>
      <w:r w:rsidRPr="006966BB">
        <w:t>Všem testovaným laboratořím je rozeslán stejný kontrolní vzorek spolu s průvodním dopisem a formulářem pro vyplnění naměřených hodnot</w:t>
      </w:r>
    </w:p>
    <w:p w14:paraId="4C44DE7D" w14:textId="77777777" w:rsidR="00897DEF" w:rsidRPr="006966BB" w:rsidRDefault="00897DEF" w:rsidP="006966BB">
      <w:pPr>
        <w:pStyle w:val="Odstavecseseznamem"/>
        <w:numPr>
          <w:ilvl w:val="0"/>
          <w:numId w:val="3"/>
        </w:numPr>
        <w:spacing w:after="200" w:line="360" w:lineRule="auto"/>
        <w:jc w:val="both"/>
      </w:pPr>
      <w:r w:rsidRPr="006966BB">
        <w:t>Laboratoře musí vzorek zanalyzovat a do určitého data odeslat výsledky zpět hodnotící instituci, která zhodnotí, zda naměřené výsledky jsou v tolerančním rozpětí.</w:t>
      </w:r>
    </w:p>
    <w:p w14:paraId="091846F1" w14:textId="77777777" w:rsidR="00897DEF" w:rsidRPr="006966BB" w:rsidRDefault="00897DEF" w:rsidP="006966BB">
      <w:pPr>
        <w:pStyle w:val="Odstavecseseznamem"/>
        <w:numPr>
          <w:ilvl w:val="0"/>
          <w:numId w:val="3"/>
        </w:numPr>
        <w:spacing w:after="200" w:line="360" w:lineRule="auto"/>
        <w:jc w:val="both"/>
      </w:pPr>
      <w:r w:rsidRPr="006966BB">
        <w:t>Je-li laboratoř úspěšná, získá certifikát – platnost certifikátů se pohybuje v řádu měsíců až roku podle metody</w:t>
      </w:r>
    </w:p>
    <w:sectPr w:rsidR="00897DEF" w:rsidRPr="006966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A545C7"/>
    <w:multiLevelType w:val="hybridMultilevel"/>
    <w:tmpl w:val="F13874DA"/>
    <w:lvl w:ilvl="0" w:tplc="977C092A">
      <w:start w:val="2"/>
      <w:numFmt w:val="decimal"/>
      <w:lvlText w:val="%1."/>
      <w:lvlJc w:val="left"/>
      <w:pPr>
        <w:ind w:left="862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582" w:hanging="360"/>
      </w:pPr>
    </w:lvl>
    <w:lvl w:ilvl="2" w:tplc="0405001B" w:tentative="1">
      <w:start w:val="1"/>
      <w:numFmt w:val="lowerRoman"/>
      <w:lvlText w:val="%3."/>
      <w:lvlJc w:val="right"/>
      <w:pPr>
        <w:ind w:left="2302" w:hanging="180"/>
      </w:pPr>
    </w:lvl>
    <w:lvl w:ilvl="3" w:tplc="0405000F" w:tentative="1">
      <w:start w:val="1"/>
      <w:numFmt w:val="decimal"/>
      <w:lvlText w:val="%4."/>
      <w:lvlJc w:val="left"/>
      <w:pPr>
        <w:ind w:left="3022" w:hanging="360"/>
      </w:pPr>
    </w:lvl>
    <w:lvl w:ilvl="4" w:tplc="04050019" w:tentative="1">
      <w:start w:val="1"/>
      <w:numFmt w:val="lowerLetter"/>
      <w:lvlText w:val="%5."/>
      <w:lvlJc w:val="left"/>
      <w:pPr>
        <w:ind w:left="3742" w:hanging="360"/>
      </w:pPr>
    </w:lvl>
    <w:lvl w:ilvl="5" w:tplc="0405001B" w:tentative="1">
      <w:start w:val="1"/>
      <w:numFmt w:val="lowerRoman"/>
      <w:lvlText w:val="%6."/>
      <w:lvlJc w:val="right"/>
      <w:pPr>
        <w:ind w:left="4462" w:hanging="180"/>
      </w:pPr>
    </w:lvl>
    <w:lvl w:ilvl="6" w:tplc="0405000F" w:tentative="1">
      <w:start w:val="1"/>
      <w:numFmt w:val="decimal"/>
      <w:lvlText w:val="%7."/>
      <w:lvlJc w:val="left"/>
      <w:pPr>
        <w:ind w:left="5182" w:hanging="360"/>
      </w:pPr>
    </w:lvl>
    <w:lvl w:ilvl="7" w:tplc="04050019" w:tentative="1">
      <w:start w:val="1"/>
      <w:numFmt w:val="lowerLetter"/>
      <w:lvlText w:val="%8."/>
      <w:lvlJc w:val="left"/>
      <w:pPr>
        <w:ind w:left="5902" w:hanging="360"/>
      </w:pPr>
    </w:lvl>
    <w:lvl w:ilvl="8" w:tplc="040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" w15:restartNumberingAfterBreak="0">
    <w:nsid w:val="34920719"/>
    <w:multiLevelType w:val="hybridMultilevel"/>
    <w:tmpl w:val="E0C68A5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4D763B"/>
    <w:multiLevelType w:val="hybridMultilevel"/>
    <w:tmpl w:val="2F90ED54"/>
    <w:lvl w:ilvl="0" w:tplc="04050019">
      <w:start w:val="1"/>
      <w:numFmt w:val="lowerLetter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5062E9B"/>
    <w:multiLevelType w:val="hybridMultilevel"/>
    <w:tmpl w:val="37C4B5D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F30D4A"/>
    <w:multiLevelType w:val="multilevel"/>
    <w:tmpl w:val="E89095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89F7932"/>
    <w:multiLevelType w:val="hybridMultilevel"/>
    <w:tmpl w:val="CEC29206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B585BE9"/>
    <w:multiLevelType w:val="hybridMultilevel"/>
    <w:tmpl w:val="4F90BBEC"/>
    <w:lvl w:ilvl="0" w:tplc="03923CC8">
      <w:numFmt w:val="bullet"/>
      <w:lvlText w:val="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FDB6E6A"/>
    <w:multiLevelType w:val="hybridMultilevel"/>
    <w:tmpl w:val="3E4C51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89B1F1E"/>
    <w:multiLevelType w:val="hybridMultilevel"/>
    <w:tmpl w:val="B08EE2EA"/>
    <w:lvl w:ilvl="0" w:tplc="040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78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9" w15:restartNumberingAfterBreak="0">
    <w:nsid w:val="7C4068F4"/>
    <w:multiLevelType w:val="hybridMultilevel"/>
    <w:tmpl w:val="3E6E7C18"/>
    <w:lvl w:ilvl="0" w:tplc="0405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8"/>
  </w:num>
  <w:num w:numId="5">
    <w:abstractNumId w:val="2"/>
  </w:num>
  <w:num w:numId="6">
    <w:abstractNumId w:val="9"/>
  </w:num>
  <w:num w:numId="7">
    <w:abstractNumId w:val="4"/>
  </w:num>
  <w:num w:numId="8">
    <w:abstractNumId w:val="3"/>
  </w:num>
  <w:num w:numId="9">
    <w:abstractNumId w:val="6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1914"/>
    <w:rsid w:val="000123AE"/>
    <w:rsid w:val="00013C79"/>
    <w:rsid w:val="00020CCF"/>
    <w:rsid w:val="000463EE"/>
    <w:rsid w:val="00080CBC"/>
    <w:rsid w:val="000B2D21"/>
    <w:rsid w:val="000E41C8"/>
    <w:rsid w:val="00112138"/>
    <w:rsid w:val="00157530"/>
    <w:rsid w:val="001A060E"/>
    <w:rsid w:val="002070E9"/>
    <w:rsid w:val="00212DAF"/>
    <w:rsid w:val="0024116A"/>
    <w:rsid w:val="00275D5B"/>
    <w:rsid w:val="0028506F"/>
    <w:rsid w:val="002E12E9"/>
    <w:rsid w:val="00311F2E"/>
    <w:rsid w:val="00326194"/>
    <w:rsid w:val="00326959"/>
    <w:rsid w:val="00333443"/>
    <w:rsid w:val="003A6F27"/>
    <w:rsid w:val="00435C51"/>
    <w:rsid w:val="00440142"/>
    <w:rsid w:val="004479E6"/>
    <w:rsid w:val="0045246F"/>
    <w:rsid w:val="00467E4D"/>
    <w:rsid w:val="00476595"/>
    <w:rsid w:val="004C3D5F"/>
    <w:rsid w:val="00522C61"/>
    <w:rsid w:val="00570F01"/>
    <w:rsid w:val="00583D76"/>
    <w:rsid w:val="006351BB"/>
    <w:rsid w:val="00640E9A"/>
    <w:rsid w:val="0066499E"/>
    <w:rsid w:val="00687F9F"/>
    <w:rsid w:val="006966BB"/>
    <w:rsid w:val="006A7FD8"/>
    <w:rsid w:val="007316AC"/>
    <w:rsid w:val="007720EC"/>
    <w:rsid w:val="0079157A"/>
    <w:rsid w:val="007B0610"/>
    <w:rsid w:val="007E0D60"/>
    <w:rsid w:val="007E6C83"/>
    <w:rsid w:val="007F2600"/>
    <w:rsid w:val="00824C4E"/>
    <w:rsid w:val="00852571"/>
    <w:rsid w:val="008967B3"/>
    <w:rsid w:val="00897DEF"/>
    <w:rsid w:val="008B02B9"/>
    <w:rsid w:val="008B181F"/>
    <w:rsid w:val="008D2540"/>
    <w:rsid w:val="008D4971"/>
    <w:rsid w:val="008F318C"/>
    <w:rsid w:val="00917AE7"/>
    <w:rsid w:val="00943CE9"/>
    <w:rsid w:val="009B449C"/>
    <w:rsid w:val="009D4534"/>
    <w:rsid w:val="00A51914"/>
    <w:rsid w:val="00AA0D5B"/>
    <w:rsid w:val="00AB748A"/>
    <w:rsid w:val="00AC159D"/>
    <w:rsid w:val="00AC28C5"/>
    <w:rsid w:val="00AC400F"/>
    <w:rsid w:val="00AD259D"/>
    <w:rsid w:val="00AD43CA"/>
    <w:rsid w:val="00B20C4E"/>
    <w:rsid w:val="00BA765A"/>
    <w:rsid w:val="00BB111E"/>
    <w:rsid w:val="00BB1D26"/>
    <w:rsid w:val="00C22B5A"/>
    <w:rsid w:val="00CA7E66"/>
    <w:rsid w:val="00CE4B22"/>
    <w:rsid w:val="00D05A60"/>
    <w:rsid w:val="00D93DE9"/>
    <w:rsid w:val="00E63620"/>
    <w:rsid w:val="00E81B8A"/>
    <w:rsid w:val="00F02198"/>
    <w:rsid w:val="00F77B40"/>
    <w:rsid w:val="00FA1F7B"/>
    <w:rsid w:val="00FB1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60AF07"/>
  <w15:chartTrackingRefBased/>
  <w15:docId w15:val="{1E1E6C11-122C-4F76-8673-40AFBD8BA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5191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85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36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677</Words>
  <Characters>3997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Vávrová Lucie</dc:creator>
  <cp:keywords/>
  <dc:description/>
  <cp:lastModifiedBy>RNDr. Vávrová Lucie Ph.D.</cp:lastModifiedBy>
  <cp:revision>8</cp:revision>
  <dcterms:created xsi:type="dcterms:W3CDTF">2022-03-12T17:02:00Z</dcterms:created>
  <dcterms:modified xsi:type="dcterms:W3CDTF">2022-03-12T17:09:00Z</dcterms:modified>
</cp:coreProperties>
</file>