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BEE2" w14:textId="77777777" w:rsidR="00A169AC" w:rsidRPr="00A169AC" w:rsidRDefault="00A169AC" w:rsidP="00A169AC">
      <w:pPr>
        <w:jc w:val="both"/>
        <w:rPr>
          <w:b/>
          <w:bCs/>
        </w:rPr>
      </w:pPr>
      <w:bookmarkStart w:id="0" w:name="_Toc105164503"/>
      <w:r w:rsidRPr="00A169AC">
        <w:rPr>
          <w:b/>
          <w:bCs/>
        </w:rPr>
        <w:t>PLICNÍ EMBOLIE</w:t>
      </w:r>
      <w:bookmarkEnd w:id="0"/>
    </w:p>
    <w:p w14:paraId="301A3D02" w14:textId="77777777" w:rsidR="00A169AC" w:rsidRPr="00DA59C9" w:rsidRDefault="00A169AC" w:rsidP="00A169AC">
      <w:pPr>
        <w:jc w:val="both"/>
        <w:rPr>
          <w:sz w:val="24"/>
        </w:rPr>
      </w:pPr>
      <w:r w:rsidRPr="0091096C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Definice plicní embolie</w:t>
      </w:r>
    </w:p>
    <w:p w14:paraId="79A34E24" w14:textId="77777777" w:rsidR="00A169A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Plicní embolie (PE) je jedním z relativně častých a závažných onemocnění kardiovaskulárního systému. Akutní plicní embolie je uzávěr plicní tepny nebo její větve embolem. Zdrojem embolizace je většině případů trombus z dolní končetiny nebo malé pánve při probíhající hluboké žilní trombóze.</w:t>
      </w:r>
      <w:r w:rsidRPr="0091096C">
        <w:rPr>
          <w:rFonts w:eastAsia="Times New Roman" w:cs="Calibri"/>
          <w:color w:val="404040"/>
          <w:lang w:eastAsia="cs-CZ"/>
        </w:rPr>
        <w:br/>
        <w:t>Můžeme však vidět i embolizace tukové (např. při zlomeninách dlouhých kostí), vzduchové (např. po úrazech nebo výkonech na krku a hlavě, při potápěčských nehodách), nádorové (jako embolus se chová nádorová hmota), septické (např. septický trombus v srdci při endokarditidě) nebo plodovou vodou při porodu (šokový stav spojený s rozvojem DIC).</w:t>
      </w:r>
    </w:p>
    <w:p w14:paraId="08F9A1CF" w14:textId="77777777" w:rsidR="00A169AC" w:rsidRPr="00DA59C9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lang w:eastAsia="cs-CZ"/>
        </w:rPr>
      </w:pPr>
      <w:r w:rsidRPr="0091096C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Epidemiologie a rizikové faktory</w:t>
      </w:r>
    </w:p>
    <w:p w14:paraId="6BC136DF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Hluboká žilní trombóza a plicní embolie jsou součástí žilní tromboembolické nemoci, která představuje třetí nejčastější kardiovaskulární onemocnění s celkovou roční incidencí 100–200 případů na 100 tisíc obyvatel. Plicní embolie je jednou z hlavních příčin mortality, morbidity a hospitalizací v Evropě. Přehled rizikových faktorů vzniku žilní tromboembolické nemoci je uveden v tabulce 1.</w:t>
      </w:r>
    </w:p>
    <w:p w14:paraId="6E62FD73" w14:textId="6318C0DA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noProof/>
          <w:color w:val="404040"/>
          <w:lang w:eastAsia="cs-CZ"/>
        </w:rPr>
        <w:drawing>
          <wp:inline distT="0" distB="0" distL="0" distR="0" wp14:anchorId="73167451" wp14:editId="6FF9F429">
            <wp:extent cx="4133850" cy="3524250"/>
            <wp:effectExtent l="0" t="0" r="0" b="0"/>
            <wp:docPr id="6" name="Obrázek 6" descr="https://zip.zzshmp.cz/vm/upload/foto_gal/2021_E-kurzy/Rizikove_faktory_PE.jpg?s=DEEC91C139B8B2864DB384546D9356755B6B5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zip.zzshmp.cz/vm/upload/foto_gal/2021_E-kurzy/Rizikove_faktory_PE.jpg?s=DEEC91C139B8B2864DB384546D9356755B6B507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091B" w14:textId="77777777" w:rsidR="00A169A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 xml:space="preserve">Tab. 1 – Faktory predisponující k žilní tromboembolické nemoci (upraveno podle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European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Society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of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Cardiology</w:t>
      </w:r>
      <w:proofErr w:type="spellEnd"/>
      <w:r w:rsidRPr="0091096C">
        <w:rPr>
          <w:rFonts w:eastAsia="Times New Roman" w:cs="Calibri"/>
          <w:color w:val="404040"/>
          <w:lang w:eastAsia="cs-CZ"/>
        </w:rPr>
        <w:t>)</w:t>
      </w:r>
    </w:p>
    <w:p w14:paraId="71443309" w14:textId="77777777" w:rsidR="00A169A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</w:p>
    <w:p w14:paraId="6066E57E" w14:textId="77777777" w:rsidR="00A169AC" w:rsidRPr="00DA59C9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cs="Calibri"/>
          <w:b/>
          <w:bCs/>
        </w:rPr>
        <w:t>Patofyziologie plicní embolie</w:t>
      </w:r>
    </w:p>
    <w:p w14:paraId="667EEB1D" w14:textId="77777777" w:rsidR="00A169AC" w:rsidRPr="0091096C" w:rsidRDefault="00A169AC" w:rsidP="00A169AC">
      <w:pPr>
        <w:jc w:val="both"/>
        <w:rPr>
          <w:rFonts w:cs="Calibri"/>
        </w:rPr>
      </w:pPr>
      <w:r w:rsidRPr="0091096C">
        <w:rPr>
          <w:rFonts w:cs="Calibri"/>
        </w:rPr>
        <w:t xml:space="preserve">Akutní plicní embolie ovlivňuje jak krevní oběh, tak výměnu plynů. Obstrukce plicních tepen vede k náhlému zvýšení cévní rezistence, která má za následek dilataci pravé komory srdeční a změnu její kontraktility. Tyto změny vedou k systolické dysfunkci s následným poklesem minutového srdečního výdeje, hypotenzi, kardiogennímu šoku a v nejzávažnějších případech k úmrtí, a to nejčastěji pod obrazem </w:t>
      </w:r>
      <w:proofErr w:type="spellStart"/>
      <w:r w:rsidRPr="0091096C">
        <w:rPr>
          <w:rFonts w:cs="Calibri"/>
        </w:rPr>
        <w:t>bezpulzové</w:t>
      </w:r>
      <w:proofErr w:type="spellEnd"/>
      <w:r w:rsidRPr="0091096C">
        <w:rPr>
          <w:rFonts w:cs="Calibri"/>
        </w:rPr>
        <w:t xml:space="preserve"> elektrické aktivity na elektrokardiografickém (EKG) záznamu. V patofyziologii se dále podílí také ischemie myokardu pravé komory v důsledku zvýšených metabolických nároků pravé komory srdeční, zkrácení diastoly při tachykardii, zvýšení plnícího tlaku pravé komory a </w:t>
      </w:r>
      <w:proofErr w:type="spellStart"/>
      <w:r w:rsidRPr="0091096C">
        <w:rPr>
          <w:rFonts w:cs="Calibri"/>
        </w:rPr>
        <w:t>hypoxemie</w:t>
      </w:r>
      <w:proofErr w:type="spellEnd"/>
      <w:r w:rsidRPr="0091096C">
        <w:rPr>
          <w:rFonts w:cs="Calibri"/>
        </w:rPr>
        <w:t xml:space="preserve">. </w:t>
      </w:r>
      <w:proofErr w:type="spellStart"/>
      <w:r w:rsidRPr="0091096C">
        <w:rPr>
          <w:rFonts w:cs="Calibri"/>
        </w:rPr>
        <w:lastRenderedPageBreak/>
        <w:t>Hemodynamicky</w:t>
      </w:r>
      <w:proofErr w:type="spellEnd"/>
      <w:r w:rsidRPr="0091096C">
        <w:rPr>
          <w:rFonts w:cs="Calibri"/>
        </w:rPr>
        <w:t xml:space="preserve"> se projeví akutní obstrukce 30–50 % plicního řečiště. Primární příčina úmrtí u pacienta s těžkou plicní embolií je selhání pravé komory srdeční.</w:t>
      </w:r>
    </w:p>
    <w:p w14:paraId="74B5D27E" w14:textId="77777777" w:rsidR="00A169AC" w:rsidRPr="00DA59C9" w:rsidRDefault="00A169AC" w:rsidP="00A169AC">
      <w:pPr>
        <w:jc w:val="both"/>
        <w:rPr>
          <w:rFonts w:cs="Calibri"/>
        </w:rPr>
      </w:pPr>
      <w:r w:rsidRPr="0091096C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t>Klinické příznaky plicní embolie</w:t>
      </w:r>
    </w:p>
    <w:p w14:paraId="7E591FB9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Diagnostiku plicní embolie v přednemocniční péči ztěžuje skutečnost, že klinické symptomy plicní embolie nejsou zcela specifické. K nejčastěji uváděným subjektivním symptomům patří náhle vzniklá dušnost nebo postupně progredující dušnost, bolest na hrudi za sternem nebo pleurálního charakteru (bodavá, vázaná na dýchání) – bolest je vlastně projevem iritace pleury při plicním infarktu na podkladě PE – 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prekolaps</w:t>
      </w:r>
      <w:proofErr w:type="spellEnd"/>
      <w:r w:rsidRPr="0091096C">
        <w:rPr>
          <w:rFonts w:eastAsia="Times New Roman" w:cs="Calibri"/>
          <w:color w:val="404040"/>
          <w:lang w:eastAsia="cs-CZ"/>
        </w:rPr>
        <w:t>, kolaps, palpitace, suchý kašel, hemoptýza, příznaky vyplývající z HŽT (bolest lýtka, asymetrický otok).</w:t>
      </w:r>
    </w:p>
    <w:p w14:paraId="3C22ECAD" w14:textId="591A4F2B" w:rsidR="00A169AC" w:rsidRPr="0091096C" w:rsidRDefault="00A169AC" w:rsidP="00A169AC">
      <w:pPr>
        <w:spacing w:after="90" w:line="270" w:lineRule="atLeast"/>
        <w:ind w:left="600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noProof/>
          <w:color w:val="404040"/>
          <w:sz w:val="18"/>
          <w:szCs w:val="18"/>
          <w:lang w:eastAsia="cs-CZ"/>
        </w:rPr>
        <w:drawing>
          <wp:inline distT="0" distB="0" distL="0" distR="0" wp14:anchorId="3F7933FF" wp14:editId="05D86153">
            <wp:extent cx="4410075" cy="1857375"/>
            <wp:effectExtent l="0" t="0" r="9525" b="9525"/>
            <wp:docPr id="5" name="Obrázek 5" descr="https://zip.zzshmp.cz/vm/upload/foto_gal/2021_E-kurzy/Tab_2.jpg?s=DB7C4623BF46297B2086A0C463E9C01539129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s://zip.zzshmp.cz/vm/upload/foto_gal/2021_E-kurzy/Tab_2.jpg?s=DB7C4623BF46297B2086A0C463E9C015391298B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E750D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Tab. 2 – Klinické symptomy a nálezy, které se mohou vyskytovat u pacientů s plicní embolií (SpO</w:t>
      </w:r>
      <w:r w:rsidRPr="0091096C">
        <w:rPr>
          <w:rFonts w:eastAsia="Times New Roman" w:cs="Calibri"/>
          <w:color w:val="404040"/>
          <w:vertAlign w:val="subscript"/>
          <w:lang w:eastAsia="cs-CZ"/>
        </w:rPr>
        <w:t>2</w:t>
      </w:r>
      <w:r w:rsidRPr="0091096C">
        <w:rPr>
          <w:rFonts w:eastAsia="Times New Roman" w:cs="Calibri"/>
          <w:color w:val="404040"/>
          <w:lang w:eastAsia="cs-CZ"/>
        </w:rPr>
        <w:t xml:space="preserve"> – saturace krve kyslíkem,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FiS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– fibrilace síní, BPRT – blokáda pravého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Tawarova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raménka, HŽT – hluboká žilní trombóza)</w:t>
      </w:r>
    </w:p>
    <w:p w14:paraId="4B3D4325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Klinické známky oběhové nestability (hypotenze, tachykardie) signalizují rozsáhlou PE a jsou považovány za bezprostředně život ohrožující stav (vysoké riziko časného úmrtí)!</w:t>
      </w:r>
    </w:p>
    <w:p w14:paraId="0845D0F7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proofErr w:type="spellStart"/>
      <w:r w:rsidRPr="0091096C">
        <w:rPr>
          <w:rFonts w:eastAsia="Times New Roman" w:cs="Calibri"/>
          <w:color w:val="404040"/>
          <w:lang w:eastAsia="cs-CZ"/>
        </w:rPr>
        <w:t>Pollack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(2011) ve své studii zveřejnil procentuální zastoupení jak anamnestických, tak fyzikálních příznaků (tabulka 3) u pacientů s potvrzenou (n=1880), tak nepotvrzenou (n=528) plicní embolií z celkového souboru 2408 pacientů. Z uvedeného výčtu vyplývá, že příznaky jsou opravdu různorodé a nespecifické (celý článek v anglickém jazyce naleznete v příloze na pravé straně obrazovky).</w:t>
      </w:r>
    </w:p>
    <w:p w14:paraId="796E4422" w14:textId="36F08FD2" w:rsidR="00A169AC" w:rsidRPr="0091096C" w:rsidRDefault="00A169AC" w:rsidP="00A169AC">
      <w:pPr>
        <w:spacing w:after="90" w:line="270" w:lineRule="atLeast"/>
        <w:ind w:left="1200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noProof/>
          <w:color w:val="404040"/>
          <w:lang w:eastAsia="cs-CZ"/>
        </w:rPr>
        <w:drawing>
          <wp:inline distT="0" distB="0" distL="0" distR="0" wp14:anchorId="27CC9F1F" wp14:editId="01E4731A">
            <wp:extent cx="2714625" cy="2783350"/>
            <wp:effectExtent l="0" t="0" r="0" b="0"/>
            <wp:docPr id="4" name="Obrázek 4" descr="https://zip.zzshmp.cz/vm/upload/foto_gal/2021_E-kurzy/Priznaky_PE.jpg?s=11E311DAF69DEEA71F7BE1697E03FE1D65E2C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https://zip.zzshmp.cz/vm/upload/foto_gal/2021_E-kurzy/Priznaky_PE.jpg?s=11E311DAF69DEEA71F7BE1697E03FE1D65E2C1A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097" cy="278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8B33B" w14:textId="77777777" w:rsidR="00A169A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Tab. 3 – Příznaky pacientů na urgentním příjmu s potvrzenou a nepotvrzenou plicní embolií (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Pollack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et al., 2011)</w:t>
      </w:r>
    </w:p>
    <w:p w14:paraId="1840A10C" w14:textId="77777777" w:rsidR="00A169AC" w:rsidRPr="00DA59C9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b/>
          <w:bCs/>
          <w:color w:val="000000"/>
          <w:sz w:val="24"/>
          <w:lang w:eastAsia="cs-CZ"/>
        </w:rPr>
        <w:lastRenderedPageBreak/>
        <w:t>Diagnostika plicní embolie</w:t>
      </w:r>
    </w:p>
    <w:p w14:paraId="026F0F32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Je doporučeno, aby diagnostická strategie byla založena na stanovení klinické pravděpodobnosti, a to buď podle klinického úsudku, nebo na základě validovaných predikčních skórovacích systémů.</w:t>
      </w:r>
    </w:p>
    <w:p w14:paraId="79A6AFBA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Diagnóza, respektive podezření na PE, je v PNP stanoveno na podkladě klinických příznaků – 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subj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. obtíže, objektivní nález, známky HŽT nebo přítomné rizikové faktory HŽT.  EKG slouží zejména k vyloučení jiných příčin dušnosti a bolesti na </w:t>
      </w:r>
      <w:proofErr w:type="gramStart"/>
      <w:r w:rsidRPr="0091096C">
        <w:rPr>
          <w:rFonts w:eastAsia="Times New Roman" w:cs="Calibri"/>
          <w:color w:val="404040"/>
          <w:lang w:eastAsia="cs-CZ"/>
        </w:rPr>
        <w:t>hrudi</w:t>
      </w:r>
      <w:proofErr w:type="gramEnd"/>
      <w:r w:rsidRPr="0091096C">
        <w:rPr>
          <w:rFonts w:eastAsia="Times New Roman" w:cs="Calibri"/>
          <w:color w:val="404040"/>
          <w:lang w:eastAsia="cs-CZ"/>
        </w:rPr>
        <w:t xml:space="preserve"> než je PE.</w:t>
      </w:r>
    </w:p>
    <w:p w14:paraId="0AB0661E" w14:textId="0B4C6F79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 xml:space="preserve">Ačkoliv jsou klinické symptomy a nálezy u plicní embolie nespecifické, je možné určit klinickou pravděpodobnost plicní embolie stanovením prediktivního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Wellsova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skóre nebo pomocí Revidovaného ženevského skóre</w:t>
      </w:r>
      <w:r>
        <w:rPr>
          <w:rFonts w:eastAsia="Times New Roman" w:cs="Calibri"/>
          <w:color w:val="404040"/>
          <w:lang w:eastAsia="cs-CZ"/>
        </w:rPr>
        <w:t xml:space="preserve"> </w:t>
      </w:r>
      <w:r w:rsidRPr="0091096C">
        <w:rPr>
          <w:rFonts w:eastAsia="Times New Roman" w:cs="Calibri"/>
          <w:color w:val="404040"/>
          <w:lang w:eastAsia="cs-CZ"/>
        </w:rPr>
        <w:t>(tabulka 3 a 4).</w:t>
      </w:r>
    </w:p>
    <w:p w14:paraId="2C4A3489" w14:textId="58065177" w:rsidR="00A169AC" w:rsidRPr="0091096C" w:rsidRDefault="00A169AC" w:rsidP="00A169AC">
      <w:pPr>
        <w:spacing w:after="90" w:line="270" w:lineRule="atLeast"/>
        <w:ind w:left="600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noProof/>
          <w:color w:val="404040"/>
          <w:lang w:eastAsia="cs-CZ"/>
        </w:rPr>
        <w:drawing>
          <wp:inline distT="0" distB="0" distL="0" distR="0" wp14:anchorId="700127CC" wp14:editId="59777D14">
            <wp:extent cx="4657725" cy="1704975"/>
            <wp:effectExtent l="0" t="0" r="9525" b="9525"/>
            <wp:docPr id="3" name="Obrázek 3" descr="https://zip.zzshmp.cz/vm/upload/foto_gal/2021_E-kurzy/Zjednodusene_Wellsovo_skore.jpg?s=0DBAC85BF6EF746A4FB7FE61B486CAF63454D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 descr="https://zip.zzshmp.cz/vm/upload/foto_gal/2021_E-kurzy/Zjednodusene_Wellsovo_skore.jpg?s=0DBAC85BF6EF746A4FB7FE61B486CAF63454D1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E48FB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 xml:space="preserve">Tab. 3 – Prediktivní zjednodušené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Wellsovo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skóre klinické pravděpodobnosti plicní embolie (PE – plicní embolie, HŽT – hluboká žilní trombóza)</w:t>
      </w:r>
    </w:p>
    <w:p w14:paraId="45D29D86" w14:textId="49511869" w:rsidR="00A169AC" w:rsidRPr="0091096C" w:rsidRDefault="00A169AC" w:rsidP="00A169AC">
      <w:pPr>
        <w:spacing w:after="90" w:line="270" w:lineRule="atLeast"/>
        <w:ind w:left="600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noProof/>
          <w:color w:val="404040"/>
          <w:sz w:val="18"/>
          <w:szCs w:val="18"/>
          <w:lang w:eastAsia="cs-CZ"/>
        </w:rPr>
        <w:drawing>
          <wp:inline distT="0" distB="0" distL="0" distR="0" wp14:anchorId="7760BE82" wp14:editId="52D826B0">
            <wp:extent cx="4457700" cy="2724150"/>
            <wp:effectExtent l="0" t="0" r="0" b="0"/>
            <wp:docPr id="2" name="Obrázek 2" descr="https://zip.zzshmp.cz/vm/upload/foto_gal/2021_E-kurzy/Zjednodusene_Zenevske_skore.jpg?s=480D30C2E9B05CACDC764C1E183C4A6D922621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https://zip.zzshmp.cz/vm/upload/foto_gal/2021_E-kurzy/Zjednodusene_Zenevske_skore.jpg?s=480D30C2E9B05CACDC764C1E183C4A6D922621C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FD70" w14:textId="77777777" w:rsidR="00A169A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Tab. 4 – Prediktivní zjednodušené Revidované ženevské skóre klinické pravděpodobnosti plicní embolie (PE – plicní embolie, HŽT – hluboká žilní trombóza)</w:t>
      </w:r>
    </w:p>
    <w:p w14:paraId="4D9490C5" w14:textId="77777777" w:rsidR="00A169AC" w:rsidRPr="00DA59C9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lang w:eastAsia="cs-CZ"/>
        </w:rPr>
      </w:pPr>
      <w:r w:rsidRPr="0091096C">
        <w:rPr>
          <w:rFonts w:eastAsia="Times New Roman" w:cs="Calibri"/>
          <w:b/>
          <w:bCs/>
          <w:color w:val="000000"/>
          <w:sz w:val="24"/>
          <w:lang w:eastAsia="cs-CZ"/>
        </w:rPr>
        <w:t>EKG vyšetření</w:t>
      </w:r>
    </w:p>
    <w:p w14:paraId="5782C2A9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 xml:space="preserve">EKG vyšetření je nedílnou součástí vyšetření pacienta s podezřením na akutní plicní embolii. Nízká senzitivita EKG v diagnostice akutní plicní embolie je důvod, pro který je EKG vyšetření používáno spíše k vyloučení jiných možných příčin klinického stavu pacienta než k samotnému potvrzení diagnózy. EKG změny u pacienta s akutní plicní embolií jsou velmi variabilní a mnohdy přechodné. EKG může být zcela normální, u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hemodynamicky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méně závažných je cca v 40 % sinusová tachykardie, u závažnějších pak známky přetížení PK: přítomnost hlubokého kmitu S ve svodu I a kmitu Q ve svodu III s negativním T ve svodu III jsou poměrně specifickými EKG změnami u akutní plicní embolie (S</w:t>
      </w:r>
      <w:r w:rsidRPr="0091096C">
        <w:rPr>
          <w:rFonts w:eastAsia="Times New Roman" w:cs="Calibri"/>
          <w:color w:val="404040"/>
          <w:vertAlign w:val="subscript"/>
          <w:lang w:eastAsia="cs-CZ"/>
        </w:rPr>
        <w:t>1</w:t>
      </w:r>
      <w:r w:rsidRPr="0091096C">
        <w:rPr>
          <w:rFonts w:eastAsia="Times New Roman" w:cs="Calibri"/>
          <w:color w:val="404040"/>
          <w:lang w:eastAsia="cs-CZ"/>
        </w:rPr>
        <w:t>Q</w:t>
      </w:r>
      <w:r w:rsidRPr="0091096C">
        <w:rPr>
          <w:rFonts w:eastAsia="Times New Roman" w:cs="Calibri"/>
          <w:color w:val="404040"/>
          <w:vertAlign w:val="subscript"/>
          <w:lang w:eastAsia="cs-CZ"/>
        </w:rPr>
        <w:t>3</w:t>
      </w:r>
      <w:r w:rsidRPr="0091096C">
        <w:rPr>
          <w:rFonts w:eastAsia="Times New Roman" w:cs="Calibri"/>
          <w:color w:val="404040"/>
          <w:lang w:eastAsia="cs-CZ"/>
        </w:rPr>
        <w:t>T</w:t>
      </w:r>
      <w:r w:rsidRPr="0091096C">
        <w:rPr>
          <w:rFonts w:eastAsia="Times New Roman" w:cs="Calibri"/>
          <w:color w:val="404040"/>
          <w:vertAlign w:val="subscript"/>
          <w:lang w:eastAsia="cs-CZ"/>
        </w:rPr>
        <w:t>3</w:t>
      </w:r>
      <w:r w:rsidRPr="0091096C">
        <w:rPr>
          <w:rFonts w:eastAsia="Times New Roman" w:cs="Calibri"/>
          <w:color w:val="404040"/>
          <w:lang w:eastAsia="cs-CZ"/>
        </w:rPr>
        <w:t xml:space="preserve">), inverze T vln ve svodech V1–4, QR ve V1 nebo blok pravého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Tawarova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raménka (úplný nebo neúplný).</w:t>
      </w:r>
    </w:p>
    <w:p w14:paraId="22385B6F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b/>
          <w:bCs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404040"/>
          <w:sz w:val="18"/>
          <w:szCs w:val="18"/>
          <w:lang w:eastAsia="cs-CZ"/>
        </w:rPr>
        <w:br w:type="page"/>
      </w:r>
      <w:r w:rsidRPr="0091096C">
        <w:rPr>
          <w:rFonts w:eastAsia="Times New Roman" w:cs="Calibri"/>
          <w:b/>
          <w:bCs/>
          <w:color w:val="000000"/>
          <w:sz w:val="24"/>
          <w:szCs w:val="24"/>
          <w:lang w:eastAsia="cs-CZ"/>
        </w:rPr>
        <w:lastRenderedPageBreak/>
        <w:t>Terapie plicní embolie v přednemocniční péči</w:t>
      </w:r>
    </w:p>
    <w:p w14:paraId="2F109070" w14:textId="2843AC38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 xml:space="preserve">Terapie je zaměřena především na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hemodynamicky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nestabilní pacienty a pacienty se závažnou hypoxií a lze ji rozdělit na kauzální a symptomatickou.</w:t>
      </w:r>
    </w:p>
    <w:p w14:paraId="2981E33E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Symptomatická terapie zahrnuje:</w:t>
      </w:r>
    </w:p>
    <w:p w14:paraId="76F79118" w14:textId="77777777" w:rsidR="00A169AC" w:rsidRPr="0091096C" w:rsidRDefault="00A169AC" w:rsidP="00A169AC">
      <w:pPr>
        <w:spacing w:after="90" w:line="270" w:lineRule="atLeast"/>
        <w:ind w:left="600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 xml:space="preserve">– podání kyslíku vysokým průtokem, u těžce hypoxických pacientů lze zvážit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high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flow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 / neinvazivní ventilaci (preferenčně) nebo intubaci a umělou plicní ventilaci;</w:t>
      </w:r>
      <w:r w:rsidRPr="0091096C">
        <w:rPr>
          <w:rFonts w:eastAsia="Times New Roman" w:cs="Calibri"/>
          <w:color w:val="404040"/>
          <w:lang w:eastAsia="cs-CZ"/>
        </w:rPr>
        <w:br/>
        <w:t>– podpora oběhu max. 500 ml balancovaných krystaloidních roztoků během 15–30 min, katecholaminy (v prostředí ZZS HMP noradrenalin);</w:t>
      </w:r>
    </w:p>
    <w:p w14:paraId="1286422E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Kauzální léčba:</w:t>
      </w:r>
    </w:p>
    <w:p w14:paraId="43A586F3" w14:textId="77777777" w:rsidR="00A169AC" w:rsidRPr="0091096C" w:rsidRDefault="00A169AC" w:rsidP="00A169AC">
      <w:pPr>
        <w:spacing w:after="90" w:line="270" w:lineRule="atLeast"/>
        <w:ind w:left="600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 xml:space="preserve">– podání heparinu 80 IU/kg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i.v</w:t>
      </w:r>
      <w:proofErr w:type="spellEnd"/>
      <w:r w:rsidRPr="0091096C">
        <w:rPr>
          <w:rFonts w:eastAsia="Times New Roman" w:cs="Calibri"/>
          <w:color w:val="404040"/>
          <w:lang w:eastAsia="cs-CZ"/>
        </w:rPr>
        <w:t>. jako bolus;</w:t>
      </w:r>
      <w:r w:rsidRPr="0091096C">
        <w:rPr>
          <w:rFonts w:eastAsia="Times New Roman" w:cs="Calibri"/>
          <w:color w:val="404040"/>
          <w:sz w:val="18"/>
          <w:szCs w:val="18"/>
          <w:lang w:eastAsia="cs-CZ"/>
        </w:rPr>
        <w:br/>
      </w:r>
      <w:r w:rsidRPr="0091096C">
        <w:rPr>
          <w:rFonts w:eastAsia="Times New Roman" w:cs="Calibri"/>
          <w:color w:val="404040"/>
          <w:lang w:eastAsia="cs-CZ"/>
        </w:rPr>
        <w:t xml:space="preserve">– při SONO potvrzené vysoce rizikové PE nebo zástavě oběhu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i.v</w:t>
      </w:r>
      <w:proofErr w:type="spellEnd"/>
      <w:r w:rsidRPr="0091096C">
        <w:rPr>
          <w:rFonts w:eastAsia="Times New Roman" w:cs="Calibri"/>
          <w:color w:val="404040"/>
          <w:lang w:eastAsia="cs-CZ"/>
        </w:rPr>
        <w:t>. trombolýza (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actilyse</w:t>
      </w:r>
      <w:proofErr w:type="spellEnd"/>
      <w:r w:rsidRPr="0091096C">
        <w:rPr>
          <w:rFonts w:eastAsia="Times New Roman" w:cs="Calibri"/>
          <w:color w:val="404040"/>
          <w:lang w:eastAsia="cs-CZ"/>
        </w:rPr>
        <w:t xml:space="preserve"> 10 mg </w:t>
      </w:r>
      <w:proofErr w:type="spellStart"/>
      <w:r w:rsidRPr="0091096C">
        <w:rPr>
          <w:rFonts w:eastAsia="Times New Roman" w:cs="Calibri"/>
          <w:color w:val="404040"/>
          <w:lang w:eastAsia="cs-CZ"/>
        </w:rPr>
        <w:t>i.v</w:t>
      </w:r>
      <w:proofErr w:type="spellEnd"/>
      <w:r w:rsidRPr="0091096C">
        <w:rPr>
          <w:rFonts w:eastAsia="Times New Roman" w:cs="Calibri"/>
          <w:color w:val="404040"/>
          <w:lang w:eastAsia="cs-CZ"/>
        </w:rPr>
        <w:t>. bolus).</w:t>
      </w:r>
    </w:p>
    <w:p w14:paraId="4036E082" w14:textId="0B2E54AF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color w:val="404040"/>
          <w:sz w:val="18"/>
          <w:szCs w:val="18"/>
          <w:lang w:eastAsia="cs-CZ"/>
        </w:rPr>
      </w:pPr>
      <w:r w:rsidRPr="0091096C">
        <w:rPr>
          <w:rFonts w:eastAsia="Times New Roman" w:cs="Calibri"/>
          <w:color w:val="404040"/>
          <w:lang w:eastAsia="cs-CZ"/>
        </w:rPr>
        <w:t>CAVE: při podání trombolýzy během KPR je doporučeno pokračovat v resuscitaci min. 60 min. Zvaž směřování pacienta na ECMO.</w:t>
      </w:r>
    </w:p>
    <w:p w14:paraId="628CB7C3" w14:textId="77777777" w:rsidR="00A169AC" w:rsidRPr="0091096C" w:rsidRDefault="00A169AC" w:rsidP="00A169AC">
      <w:pPr>
        <w:spacing w:after="90" w:line="270" w:lineRule="atLeast"/>
        <w:jc w:val="both"/>
        <w:rPr>
          <w:rFonts w:eastAsia="Times New Roman" w:cs="Calibri"/>
          <w:b/>
          <w:bCs/>
          <w:color w:val="404040"/>
          <w:szCs w:val="18"/>
          <w:lang w:eastAsia="cs-CZ"/>
        </w:rPr>
      </w:pPr>
      <w:r w:rsidRPr="0091096C">
        <w:rPr>
          <w:rFonts w:eastAsia="Times New Roman" w:cs="Calibri"/>
          <w:b/>
          <w:bCs/>
          <w:color w:val="404040"/>
          <w:szCs w:val="18"/>
          <w:lang w:eastAsia="cs-CZ"/>
        </w:rPr>
        <w:t>Shrnutí</w:t>
      </w:r>
    </w:p>
    <w:p w14:paraId="6995C8D5" w14:textId="7EF27056" w:rsidR="004C4982" w:rsidRDefault="00A169AC" w:rsidP="00A169AC">
      <w:pPr>
        <w:spacing w:after="90" w:line="270" w:lineRule="atLeast"/>
        <w:jc w:val="both"/>
      </w:pPr>
      <w:r w:rsidRPr="0091096C">
        <w:rPr>
          <w:rFonts w:eastAsia="Times New Roman" w:cs="Calibri"/>
          <w:color w:val="404040"/>
          <w:szCs w:val="18"/>
          <w:lang w:eastAsia="cs-CZ"/>
        </w:rPr>
        <w:t xml:space="preserve">Plicní embolie je časté a závažné onemocnění kardiovaskulárního systému, které je nejčastěji způsobeno tromboembolickou obstrukcí plicního krevního řečiště. V diagnostice se uplatňuje klinický úsudek, případně stanovení klinické pravděpodobnosti plicní embolie skórovacími systémy a zobrazovací metody. Urgentní ultrasonografie má nezastupitelné místo v identifikaci přetížení pravé komory srdeční u </w:t>
      </w:r>
      <w:proofErr w:type="spellStart"/>
      <w:r w:rsidRPr="0091096C">
        <w:rPr>
          <w:rFonts w:eastAsia="Times New Roman" w:cs="Calibri"/>
          <w:color w:val="404040"/>
          <w:szCs w:val="18"/>
          <w:lang w:eastAsia="cs-CZ"/>
        </w:rPr>
        <w:t>hemodynamicky</w:t>
      </w:r>
      <w:proofErr w:type="spellEnd"/>
      <w:r w:rsidRPr="0091096C">
        <w:rPr>
          <w:rFonts w:eastAsia="Times New Roman" w:cs="Calibri"/>
          <w:color w:val="404040"/>
          <w:szCs w:val="18"/>
          <w:lang w:eastAsia="cs-CZ"/>
        </w:rPr>
        <w:t xml:space="preserve"> nestabilních pacientů, u nichž je vysoká pravděpodobnost plicní embolie.</w:t>
      </w:r>
      <w:r>
        <w:rPr>
          <w:rFonts w:eastAsia="Times New Roman" w:cs="Calibri"/>
          <w:color w:val="404040"/>
          <w:szCs w:val="18"/>
          <w:lang w:eastAsia="cs-CZ"/>
        </w:rPr>
        <w:t xml:space="preserve"> </w:t>
      </w:r>
      <w:r w:rsidRPr="0091096C">
        <w:rPr>
          <w:rFonts w:eastAsia="Times New Roman" w:cs="Calibri"/>
          <w:color w:val="404040"/>
          <w:szCs w:val="18"/>
          <w:lang w:eastAsia="cs-CZ"/>
        </w:rPr>
        <w:t>U pacientů s hypotenzí či šokem a vysokou pravděpodobností plicní embolie by měla být terapie zahájena již v přednemocniční péči!</w:t>
      </w:r>
    </w:p>
    <w:sectPr w:rsidR="004C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322DE"/>
    <w:multiLevelType w:val="multilevel"/>
    <w:tmpl w:val="E5548B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AC"/>
    <w:rsid w:val="004C4982"/>
    <w:rsid w:val="004F7E29"/>
    <w:rsid w:val="00A169AC"/>
    <w:rsid w:val="00E1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C9E6"/>
  <w15:chartTrackingRefBased/>
  <w15:docId w15:val="{324021B2-9ECD-4BC5-AE27-42E3D169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9A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A169AC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9A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69AC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69A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69A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69A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69AC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69AC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69AC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9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169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69AC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69A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69AC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69AC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69AC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69A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69AC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979</Words>
  <Characters>5780</Characters>
  <Application>Microsoft Office Word</Application>
  <DocSecurity>0</DocSecurity>
  <Lines>48</Lines>
  <Paragraphs>13</Paragraphs>
  <ScaleCrop>false</ScaleCrop>
  <Company>Vysoka skola zdravotnicka, o. p. s.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</dc:creator>
  <cp:keywords/>
  <dc:description/>
  <cp:lastModifiedBy>Radomír</cp:lastModifiedBy>
  <cp:revision>1</cp:revision>
  <dcterms:created xsi:type="dcterms:W3CDTF">2023-04-06T13:05:00Z</dcterms:created>
  <dcterms:modified xsi:type="dcterms:W3CDTF">2023-04-06T13:13:00Z</dcterms:modified>
</cp:coreProperties>
</file>