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BABB" w14:textId="7DE3CFA6" w:rsidR="00A71B73" w:rsidRPr="00A71B73" w:rsidRDefault="00A71B73" w:rsidP="00A71B73">
      <w:pPr>
        <w:spacing w:after="0" w:line="240" w:lineRule="auto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53F978E4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Šok je náhlý život ohrožující stav způsobený poruchou perfuze tkání, který může vést k orgánovým změnám a smrti.</w:t>
      </w:r>
    </w:p>
    <w:p w14:paraId="249F9E51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Perfuze tkání má složku nutritivní a složku cirkulační. Nutritivní složka vyjadřuje dodávku kyslíku a živin buňkám a odvod oxidu uhličitého a dalších metabolitů. Cirkulační složka je důležitá pro distribuci srdečního výdeje mezi jednotlivé orgány a pro udržení </w:t>
      </w:r>
      <w:hyperlink r:id="rId5" w:tooltip="Krevní tla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arteriálního krevního tlaku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</w:t>
      </w:r>
    </w:p>
    <w:p w14:paraId="1A895AF3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Organismus musí jednak zajistit výživu tkání (čemuž napo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máhá </w:t>
      </w:r>
      <w:hyperlink r:id="rId6" w:tooltip="Vazodilatac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vazodilatace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), jednak udržet arteriální tlak (čemuž napomáhá </w:t>
      </w:r>
      <w:hyperlink r:id="rId7" w:tooltip="Vazokonstrikc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vazokonstrikce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). V případě šoku se tyto dvě funkce dostávají do konfliktu. Nakonec převáží vazodilatace, a vznikne tak </w:t>
      </w:r>
      <w:hyperlink r:id="rId8" w:tooltip="Hypotenz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hypotenze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V důsledku poruchy perfuze dochází většinou k poškození více orgánů. Rozvíjí se syndrom multiorgánové dysfunkce (</w:t>
      </w:r>
      <w:hyperlink r:id="rId9" w:tooltip="Syndrom multiorgánové dysfunkc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MODS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).</w:t>
      </w:r>
      <w:hyperlink r:id="rId10" w:anchor="cite_note-1" w:history="1">
        <w:r w:rsidRPr="00A71B73">
          <w:rPr>
            <w:rFonts w:ascii="Segoe UI" w:eastAsia="Times New Roman" w:hAnsi="Segoe UI" w:cs="Segoe UI"/>
            <w:kern w:val="0"/>
            <w:sz w:val="17"/>
            <w:szCs w:val="17"/>
            <w:vertAlign w:val="superscript"/>
            <w:lang w:eastAsia="cs-CZ"/>
            <w14:ligatures w14:val="none"/>
          </w:rPr>
          <w:t>[1]</w:t>
        </w:r>
      </w:hyperlink>
    </w:p>
    <w:p w14:paraId="2272E7BB" w14:textId="77777777" w:rsidR="00A71B73" w:rsidRPr="00A71B73" w:rsidRDefault="00A71B73" w:rsidP="00A71B73">
      <w:pPr>
        <w:pBdr>
          <w:bottom w:val="single" w:sz="6" w:space="2" w:color="A2A9B1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  <w:t>Příčiny šoku</w:t>
      </w:r>
    </w:p>
    <w:p w14:paraId="2D30C767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Přičiny šoku můžeme zjednodušeně rozdělit na:</w:t>
      </w:r>
    </w:p>
    <w:p w14:paraId="435E856C" w14:textId="77777777" w:rsidR="00A71B73" w:rsidRPr="00A71B73" w:rsidRDefault="00A71B73" w:rsidP="00A71B73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stavy způsobující snížení srdečního výdeje – hypovolemie, </w:t>
      </w:r>
      <w:hyperlink r:id="rId11" w:tooltip="Srdeční selhání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srdeční selhání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1C315342" w14:textId="77777777" w:rsidR="00A71B73" w:rsidRPr="00A71B73" w:rsidRDefault="00A71B73" w:rsidP="00A71B73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generalizovaná vazodilatace – </w:t>
      </w:r>
      <w:hyperlink r:id="rId12" w:tooltip="Anafylax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anafylaxe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 </w:t>
      </w:r>
      <w:hyperlink r:id="rId13" w:tooltip="Seps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sepse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 neurogenní příčina.</w:t>
      </w:r>
    </w:p>
    <w:p w14:paraId="2B53C858" w14:textId="77777777" w:rsidR="00A71B73" w:rsidRPr="00A71B73" w:rsidRDefault="00A71B73" w:rsidP="00A71B73">
      <w:pPr>
        <w:pBdr>
          <w:bottom w:val="single" w:sz="6" w:space="2" w:color="A2A9B1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  <w:t>Patogeneze šoku</w:t>
      </w:r>
    </w:p>
    <w:p w14:paraId="4839A8BE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Šok má tři fáze - fáze kompenzace, fáze dekompenzace, ireverzibilní fáze.</w:t>
      </w:r>
    </w:p>
    <w:p w14:paraId="670B5384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Fáze kompenzace</w:t>
      </w:r>
    </w:p>
    <w:p w14:paraId="388FEEA2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Kompenzační reakce je snaha organismu udržet dostatečnou perfuzi vitálně důležitých tkání na úkor hypoperfuze ostatních tkání. Dochází k centralizaci oběhu. Základem kompenzace je aktivace sympatoadrenálního systému podmíněná hypotenzí. Dochází k vyplavení katecholaminů (</w:t>
      </w:r>
      <w:hyperlink r:id="rId14" w:tooltip="Adrenalin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adrenalin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 </w:t>
      </w:r>
      <w:hyperlink r:id="rId15" w:tooltip="Noradrenalin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noradrenalin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), což vede k redistribuci krve. </w:t>
      </w:r>
    </w:p>
    <w:p w14:paraId="04C2841D" w14:textId="77777777" w:rsidR="00A71B73" w:rsidRPr="00A71B73" w:rsidRDefault="00A71B73" w:rsidP="00A71B73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Ve vitálně důležitých tkáních (mozek, myokard, nadledviny, bránice, a. hepatica) dochází k vazodilataci (účinkem adrenalinu na β-receptory), a tím ke zvýšení perfuze a zásobení těchto orgánů krví.</w:t>
      </w:r>
    </w:p>
    <w:p w14:paraId="3552F60C" w14:textId="77777777" w:rsidR="00A71B73" w:rsidRPr="00A71B73" w:rsidRDefault="00A71B73" w:rsidP="00A71B73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lastRenderedPageBreak/>
        <w:t>V ostatních tkáních (kůže, kosterní svaly, plíce, střevo, pankreas, ledviny, slezina) dochází k vazokonstrikci (účinkem noradrenalinu a adrenalinu na α-receptory), tím ke snížení perfuze a vzniku ischemické </w:t>
      </w:r>
      <w:hyperlink r:id="rId16" w:tooltip="Hypoxi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hypoxie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těchto tkání.</w:t>
      </w:r>
    </w:p>
    <w:p w14:paraId="4AB5F5F6" w14:textId="79070704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Krevní objem se z větší části přesune do vitálně důležitých tkání, arteriální tlak je v této fázi normální nebo ustáleně snížený. Dalším účinkem katecholaminů je  tachykardie, tachypnoe a zvýšení kontraktility myokardu. Dále může dojít k:</w:t>
      </w:r>
    </w:p>
    <w:p w14:paraId="41A9C2C5" w14:textId="77777777" w:rsidR="00A71B73" w:rsidRPr="00A71B73" w:rsidRDefault="00A71B73" w:rsidP="00A71B73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i/>
          <w:iCs/>
          <w:kern w:val="0"/>
          <w:lang w:eastAsia="cs-CZ"/>
          <w14:ligatures w14:val="none"/>
        </w:rPr>
        <w:t>autoinfuzi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– poklesem tlaku v počátečních fázích šoku dojde k nasátí tekutiny z intersticia do cév,</w:t>
      </w:r>
    </w:p>
    <w:p w14:paraId="28A1E8B1" w14:textId="77777777" w:rsidR="00A71B73" w:rsidRPr="00A71B73" w:rsidRDefault="00A71B73" w:rsidP="00A71B73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i/>
          <w:iCs/>
          <w:kern w:val="0"/>
          <w:lang w:eastAsia="cs-CZ"/>
          <w14:ligatures w14:val="none"/>
        </w:rPr>
        <w:t>autotransfuzi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– kontrakce cév v kapacitní části řečiště (zejména játra, slezina a hrudní oblast) vede k přesunu krevních zásob z těchto orgánů do aktivního oběhu.</w:t>
      </w:r>
    </w:p>
    <w:p w14:paraId="6668A212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Fáze dekompenzace</w:t>
      </w:r>
    </w:p>
    <w:p w14:paraId="571E6939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Kompenzační mechanismy přestávají stačit. Hypoperfuze v méně významných tkáních vede k jejich hypoxickému poškození, klesá tenze O</w:t>
      </w:r>
      <w:r w:rsidRPr="00A71B73">
        <w:rPr>
          <w:rFonts w:ascii="Segoe UI" w:eastAsia="Times New Roman" w:hAnsi="Segoe UI" w:cs="Segoe UI"/>
          <w:kern w:val="0"/>
          <w:sz w:val="18"/>
          <w:szCs w:val="18"/>
          <w:vertAlign w:val="subscript"/>
          <w:lang w:eastAsia="cs-CZ"/>
          <w14:ligatures w14:val="none"/>
        </w:rPr>
        <w:t>2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pH, zvyšuje se tenze CO</w:t>
      </w:r>
      <w:r w:rsidRPr="00A71B73">
        <w:rPr>
          <w:rFonts w:ascii="Segoe UI" w:eastAsia="Times New Roman" w:hAnsi="Segoe UI" w:cs="Segoe UI"/>
          <w:kern w:val="0"/>
          <w:sz w:val="18"/>
          <w:szCs w:val="18"/>
          <w:vertAlign w:val="subscript"/>
          <w:lang w:eastAsia="cs-CZ"/>
          <w14:ligatures w14:val="none"/>
        </w:rPr>
        <w:t>2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To vede k relaxaci hladké svaloviny cév a k vazodilataci v prekapilární oblasti, postkapilární rezistenční cévy zůstávají kontrahované. V důsledku toho dochází ke:</w:t>
      </w:r>
    </w:p>
    <w:p w14:paraId="44B7A3FF" w14:textId="77777777" w:rsidR="00A71B73" w:rsidRPr="00A71B73" w:rsidRDefault="00A71B73" w:rsidP="00A71B73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změně ischemické hypoxie ve stagnační,</w:t>
      </w:r>
    </w:p>
    <w:p w14:paraId="541B43E1" w14:textId="77777777" w:rsidR="00A71B73" w:rsidRPr="00A71B73" w:rsidRDefault="00A71B73" w:rsidP="00A71B73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prostupu tekutiny extravaskulárně → prohloubení hypovolemie,</w:t>
      </w:r>
    </w:p>
    <w:p w14:paraId="3507EB33" w14:textId="77777777" w:rsidR="00A71B73" w:rsidRPr="00A71B73" w:rsidRDefault="00A71B73" w:rsidP="00A71B73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snížení objemu tekutiny v oběhu → prohloubení hypotenze,</w:t>
      </w:r>
    </w:p>
    <w:p w14:paraId="0BD6E2EA" w14:textId="77777777" w:rsidR="00A71B73" w:rsidRPr="00A71B73" w:rsidRDefault="00A71B73" w:rsidP="00A71B73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uvolnění metabolitů a enzymů z poškozených buněk (např. při ischemii GITu a pankreatu se uvolňuje tzv. myokardiální depresorický faktor, který působí negativně inotropně na myokard),</w:t>
      </w:r>
    </w:p>
    <w:p w14:paraId="4DCBE740" w14:textId="77777777" w:rsidR="00A71B73" w:rsidRPr="00A71B73" w:rsidRDefault="00A71B73" w:rsidP="00A71B73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hypoxicko-reperfuznímu poškození ischemizovaných tkání (zvýšená exprese enzymu xanthin-oxidázy vede ke zvýšené tvorbě kyslíkových radikálů, což dále poškozuje tkáně),</w:t>
      </w:r>
    </w:p>
    <w:p w14:paraId="22735D97" w14:textId="77777777" w:rsidR="00A71B73" w:rsidRPr="00A71B73" w:rsidRDefault="00A71B73" w:rsidP="00A71B73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uvolňování tkáňového faktoru z poškozených tkání – vzniká </w:t>
      </w:r>
      <w:hyperlink r:id="rId17" w:tooltip="Diseminovaná intravaskulární koagulac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DIC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</w:t>
      </w:r>
    </w:p>
    <w:p w14:paraId="3EDA2D71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Tato fáze je však stále ještě reverzibilní.</w:t>
      </w:r>
    </w:p>
    <w:p w14:paraId="530E1BBF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Ireverzibilní fáze</w:t>
      </w:r>
    </w:p>
    <w:p w14:paraId="5F4B441A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Změny jsou nekompenzované a nekompenzovatelné. Dochází k trvalému poškození orgánů až smrti.</w:t>
      </w:r>
    </w:p>
    <w:p w14:paraId="658091DA" w14:textId="77777777" w:rsidR="00A71B73" w:rsidRPr="00A71B73" w:rsidRDefault="00A71B73" w:rsidP="00A71B73">
      <w:pPr>
        <w:pBdr>
          <w:bottom w:val="single" w:sz="6" w:space="2" w:color="A2A9B1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  <w:lastRenderedPageBreak/>
        <w:t>Dělení šoku</w:t>
      </w:r>
    </w:p>
    <w:p w14:paraId="1068546E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Šok můžeme rozdělit podle podle dvou kritérií, a to podle patogeneze a podle vyvolávající příčiny.</w:t>
      </w:r>
    </w:p>
    <w:p w14:paraId="0D7BB996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Podle patogeneze</w:t>
      </w:r>
    </w:p>
    <w:p w14:paraId="5E8B56C1" w14:textId="77777777" w:rsidR="00A71B73" w:rsidRPr="00A71B73" w:rsidRDefault="00A71B73" w:rsidP="00A71B73">
      <w:pPr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18" w:tooltip="Hypovolemický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Hypovolemický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228C0AD9" w14:textId="77777777" w:rsidR="00A71B73" w:rsidRPr="00A71B73" w:rsidRDefault="00A71B73" w:rsidP="00A71B73">
      <w:pPr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19" w:tooltip="Kardiogenní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kardiogenní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7188ED69" w14:textId="77777777" w:rsidR="00A71B73" w:rsidRPr="00A71B73" w:rsidRDefault="00A71B73" w:rsidP="00A71B73">
      <w:pPr>
        <w:numPr>
          <w:ilvl w:val="1"/>
          <w:numId w:val="11"/>
        </w:numPr>
        <w:shd w:val="clear" w:color="auto" w:fill="FFFFFF"/>
        <w:spacing w:before="100" w:beforeAutospacing="1" w:after="24" w:line="360" w:lineRule="atLeast"/>
        <w:ind w:left="1824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20" w:tooltip="Obstrukční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obstrukční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2D08D965" w14:textId="77777777" w:rsidR="00A71B73" w:rsidRPr="00A71B73" w:rsidRDefault="00A71B73" w:rsidP="00A71B73">
      <w:pPr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21" w:tooltip="Distribuční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distribuční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(periferní, vazodilatační),</w:t>
      </w:r>
    </w:p>
    <w:p w14:paraId="4788C218" w14:textId="77777777" w:rsidR="00A71B73" w:rsidRPr="00A71B73" w:rsidRDefault="00A71B73" w:rsidP="00A71B73">
      <w:pPr>
        <w:numPr>
          <w:ilvl w:val="1"/>
          <w:numId w:val="11"/>
        </w:numPr>
        <w:shd w:val="clear" w:color="auto" w:fill="FFFFFF"/>
        <w:spacing w:before="100" w:beforeAutospacing="1" w:after="24" w:line="360" w:lineRule="atLeast"/>
        <w:ind w:left="1824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22" w:tooltip="Septický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septický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648AFAB8" w14:textId="77777777" w:rsidR="00A71B73" w:rsidRPr="00A71B73" w:rsidRDefault="00A71B73" w:rsidP="00A71B73">
      <w:pPr>
        <w:numPr>
          <w:ilvl w:val="1"/>
          <w:numId w:val="11"/>
        </w:numPr>
        <w:shd w:val="clear" w:color="auto" w:fill="FFFFFF"/>
        <w:spacing w:before="100" w:beforeAutospacing="1" w:after="24" w:line="360" w:lineRule="atLeast"/>
        <w:ind w:left="1824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23" w:tooltip="Anafylax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anafylaktický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42C1432E" w14:textId="77777777" w:rsidR="00A71B73" w:rsidRPr="00A71B73" w:rsidRDefault="00A71B73" w:rsidP="00A71B73">
      <w:pPr>
        <w:numPr>
          <w:ilvl w:val="1"/>
          <w:numId w:val="11"/>
        </w:numPr>
        <w:shd w:val="clear" w:color="auto" w:fill="FFFFFF"/>
        <w:spacing w:before="100" w:beforeAutospacing="1" w:after="24" w:line="360" w:lineRule="atLeast"/>
        <w:ind w:left="1824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24" w:anchor="%C5%A0ok_neurogenn%C3%AD" w:tooltip="Distribuční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neurogenní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0B3B097D" w14:textId="77777777" w:rsidR="00A71B73" w:rsidRPr="00A71B73" w:rsidRDefault="00A71B73" w:rsidP="00A71B73">
      <w:pPr>
        <w:numPr>
          <w:ilvl w:val="1"/>
          <w:numId w:val="11"/>
        </w:numPr>
        <w:shd w:val="clear" w:color="auto" w:fill="FFFFFF"/>
        <w:spacing w:before="100" w:beforeAutospacing="1" w:after="24" w:line="360" w:lineRule="atLeast"/>
        <w:ind w:left="1824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endokrinní.</w:t>
      </w:r>
    </w:p>
    <w:p w14:paraId="72E7C8B7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Podle příčiny</w:t>
      </w:r>
    </w:p>
    <w:p w14:paraId="410BF92F" w14:textId="77777777" w:rsidR="00A71B73" w:rsidRPr="00A71B73" w:rsidRDefault="00A71B73" w:rsidP="00A71B73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25" w:tooltip="Hypovolemický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Hypovolemický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03635EB6" w14:textId="77777777" w:rsidR="00A71B73" w:rsidRPr="00A71B73" w:rsidRDefault="00A71B73" w:rsidP="00A71B73">
      <w:pPr>
        <w:numPr>
          <w:ilvl w:val="1"/>
          <w:numId w:val="12"/>
        </w:numPr>
        <w:shd w:val="clear" w:color="auto" w:fill="FFFFFF"/>
        <w:spacing w:before="100" w:beforeAutospacing="1" w:after="24" w:line="360" w:lineRule="atLeast"/>
        <w:ind w:left="1824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hemorhagický, (traumatické a netraumatické krvácení),</w:t>
      </w:r>
    </w:p>
    <w:p w14:paraId="16352F68" w14:textId="77777777" w:rsidR="00A71B73" w:rsidRPr="00A71B73" w:rsidRDefault="00A71B73" w:rsidP="00A71B73">
      <w:pPr>
        <w:numPr>
          <w:ilvl w:val="1"/>
          <w:numId w:val="12"/>
        </w:numPr>
        <w:shd w:val="clear" w:color="auto" w:fill="FFFFFF"/>
        <w:spacing w:before="100" w:beforeAutospacing="1" w:after="24" w:line="360" w:lineRule="atLeast"/>
        <w:ind w:left="1824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26" w:tooltip="Popáleninový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popáleninový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1168609B" w14:textId="77777777" w:rsidR="00A71B73" w:rsidRPr="00A71B73" w:rsidRDefault="00A71B73" w:rsidP="00A71B73">
      <w:pPr>
        <w:numPr>
          <w:ilvl w:val="1"/>
          <w:numId w:val="12"/>
        </w:numPr>
        <w:shd w:val="clear" w:color="auto" w:fill="FFFFFF"/>
        <w:spacing w:before="100" w:beforeAutospacing="1" w:after="24" w:line="360" w:lineRule="atLeast"/>
        <w:ind w:left="1824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dehydratační,</w:t>
      </w:r>
    </w:p>
    <w:p w14:paraId="6C4EDA25" w14:textId="77777777" w:rsidR="00A71B73" w:rsidRPr="00A71B73" w:rsidRDefault="00A71B73" w:rsidP="00A71B73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kardiogenní,</w:t>
      </w:r>
    </w:p>
    <w:p w14:paraId="2813B45B" w14:textId="77777777" w:rsidR="00A71B73" w:rsidRPr="00A71B73" w:rsidRDefault="00A71B73" w:rsidP="00A71B73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anafylaktický,</w:t>
      </w:r>
    </w:p>
    <w:p w14:paraId="16FAC4BA" w14:textId="77777777" w:rsidR="00A71B73" w:rsidRPr="00A71B73" w:rsidRDefault="00A71B73" w:rsidP="00A71B73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hyperlink r:id="rId27" w:tooltip="Septický šo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septický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</w:t>
      </w:r>
    </w:p>
    <w:p w14:paraId="2D59D9DB" w14:textId="77777777" w:rsidR="00A71B73" w:rsidRPr="00A71B73" w:rsidRDefault="00A71B73" w:rsidP="00A71B73">
      <w:pPr>
        <w:numPr>
          <w:ilvl w:val="0"/>
          <w:numId w:val="12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neurogenní.</w:t>
      </w:r>
    </w:p>
    <w:p w14:paraId="6B076891" w14:textId="108EC65D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noProof/>
          <w:kern w:val="0"/>
          <w:lang w:eastAsia="cs-CZ"/>
          <w14:ligatures w14:val="none"/>
        </w:rPr>
        <w:lastRenderedPageBreak/>
        <w:drawing>
          <wp:inline distT="0" distB="0" distL="0" distR="0" wp14:anchorId="643B9209" wp14:editId="06309347">
            <wp:extent cx="5760720" cy="3075940"/>
            <wp:effectExtent l="0" t="0" r="5080" b="0"/>
            <wp:docPr id="1281543634" name="Obrázek 9" descr="Typy šoku">
              <a:hlinkClick xmlns:a="http://schemas.openxmlformats.org/drawingml/2006/main" r:id="rId28" tooltip="&quot;Typy šo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ypy šoku">
                      <a:hlinkClick r:id="rId28" tooltip="&quot;Typy šo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83DB" w14:textId="77777777" w:rsidR="00A71B73" w:rsidRPr="00A71B73" w:rsidRDefault="00A71B73" w:rsidP="00A71B73">
      <w:pPr>
        <w:pBdr>
          <w:bottom w:val="single" w:sz="6" w:space="2" w:color="A2A9B1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  <w:t>Orgánové změny při šoku</w:t>
      </w:r>
    </w:p>
    <w:p w14:paraId="372621BB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Během šoku dochází jen výjimečně k selhání jednotlivých orgánů. Častěji selhávají celé orgánové systémy a stav přechází až do </w:t>
      </w:r>
      <w:hyperlink r:id="rId30" w:tooltip="Syndrom multiorgánové dysfunkc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MODS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Morfologickými nálezy při šoku jsou jednak oběhové poruchy (kapilarovenózní kongesce – </w:t>
      </w:r>
      <w:hyperlink r:id="rId31" w:tooltip="Hyperemi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hyperemie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 otok, destičkové tromby v kapilárách), jednak následky hypoxie (dystrofické změny až nekrózy). Je třeba rozlišovat mezi lehčí dysfunkcí (funkční postižení, tzv. </w:t>
      </w:r>
      <w:r w:rsidRPr="00A71B73">
        <w:rPr>
          <w:rFonts w:ascii="Segoe UI" w:eastAsia="Times New Roman" w:hAnsi="Segoe UI" w:cs="Segoe UI"/>
          <w:i/>
          <w:iCs/>
          <w:kern w:val="0"/>
          <w:lang w:eastAsia="cs-CZ"/>
          <w14:ligatures w14:val="none"/>
        </w:rPr>
        <w:t>orgán v šoku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 a mezi těžším postižením funkčním i strukturálním (tzv. </w:t>
      </w:r>
      <w:r w:rsidRPr="00A71B73">
        <w:rPr>
          <w:rFonts w:ascii="Segoe UI" w:eastAsia="Times New Roman" w:hAnsi="Segoe UI" w:cs="Segoe UI"/>
          <w:i/>
          <w:iCs/>
          <w:kern w:val="0"/>
          <w:lang w:eastAsia="cs-CZ"/>
          <w14:ligatures w14:val="none"/>
        </w:rPr>
        <w:t>šokový orgán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). Nejvíce jsou postiženy ty orgány, v nichž v časných stadiích šoku dochází k vazokonstrikci a tím k hypoperfuzi.</w:t>
      </w:r>
    </w:p>
    <w:p w14:paraId="4CE8CD1D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Plíce</w:t>
      </w:r>
    </w:p>
    <w:p w14:paraId="1A11A4A2" w14:textId="40A90919" w:rsidR="00A71B73" w:rsidRPr="00A71B73" w:rsidRDefault="00A71B73" w:rsidP="00A71B73">
      <w:pPr>
        <w:shd w:val="clear" w:color="auto" w:fill="F8F9FA"/>
        <w:spacing w:after="0" w:line="360" w:lineRule="atLeast"/>
        <w:jc w:val="center"/>
        <w:rPr>
          <w:rFonts w:ascii="Segoe UI" w:eastAsia="Times New Roman" w:hAnsi="Segoe UI" w:cs="Segoe UI"/>
          <w:kern w:val="0"/>
          <w:sz w:val="23"/>
          <w:szCs w:val="23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noProof/>
          <w:kern w:val="0"/>
          <w:sz w:val="23"/>
          <w:szCs w:val="23"/>
          <w:lang w:eastAsia="cs-CZ"/>
          <w14:ligatures w14:val="none"/>
        </w:rPr>
        <w:lastRenderedPageBreak/>
        <w:drawing>
          <wp:inline distT="0" distB="0" distL="0" distR="0" wp14:anchorId="5C5E46FF" wp14:editId="5018B74C">
            <wp:extent cx="2542540" cy="2743200"/>
            <wp:effectExtent l="0" t="0" r="0" b="0"/>
            <wp:docPr id="1215255931" name="Obrázek 8" descr="Obsah obrázku skála&#10;&#10;Obsah generovaný pomocí AI může být nesprávný.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55931" name="Obrázek 8" descr="Obsah obrázku skála&#10;&#10;Obsah generovaný pomocí AI může být nesprávný.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59F30" w14:textId="77777777" w:rsidR="00A71B73" w:rsidRPr="00A71B73" w:rsidRDefault="00A71B73" w:rsidP="00A71B73">
      <w:pPr>
        <w:shd w:val="clear" w:color="auto" w:fill="F8F9FA"/>
        <w:spacing w:after="0" w:line="336" w:lineRule="atLeast"/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>Šoková plíce (obraz difuzního alveolárního poškození)</w:t>
      </w:r>
    </w:p>
    <w:p w14:paraId="5118C117" w14:textId="61F2446B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Aktivace sympatoadrenální osy vede k tachypnoe. V důsledku sníženého minutového srdečního výdeje se prokrvení plic snižuje. Je narušen poměr ventilace-perfuze, prokrveny jsou pouze dolní části plic, horní laloky představují </w:t>
      </w:r>
      <w:hyperlink r:id="rId34" w:tooltip="Mrtvý prostor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mrtvý prostor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Je narušena výměna plynů, vzniká hypoxie, která vede k poškození endotelu plicních kapilár a k uvolnění proteolytických enzymů z neutrofilů. Dochází k intersticiálnímu plicnímu edému, který je na </w:t>
      </w:r>
      <w:hyperlink r:id="rId35" w:tooltip="Skiagrafi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RTG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viditelný jako mléčně zastřená plicní kresba. Narušením tvorby </w:t>
      </w:r>
      <w:hyperlink r:id="rId36" w:tooltip="Surfaktant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surfaktantu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se rozvíjejí </w:t>
      </w:r>
      <w:hyperlink r:id="rId37" w:tooltip="Atelektáza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mikroatelektázy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Alveoly kolabují. Odloupané membranózní pneumocyty spolu s fibrinem tvoří tzv. hyalinní blanky vyplňující alveoly.</w:t>
      </w:r>
    </w:p>
    <w:p w14:paraId="3DB4623A" w14:textId="77777777" w:rsidR="00A71B73" w:rsidRPr="00A71B73" w:rsidRDefault="00A71B73" w:rsidP="00A71B73">
      <w:pPr>
        <w:numPr>
          <w:ilvl w:val="0"/>
          <w:numId w:val="13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Makroskopicky je plíce těžká a vlhká.</w:t>
      </w:r>
    </w:p>
    <w:p w14:paraId="4C2920DD" w14:textId="77777777" w:rsidR="00A71B73" w:rsidRPr="00A71B73" w:rsidRDefault="00A71B73" w:rsidP="00A71B73">
      <w:pPr>
        <w:numPr>
          <w:ilvl w:val="0"/>
          <w:numId w:val="13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Mikroskopicky pozorujeme zesílení sept a výpotek v alveolech.</w:t>
      </w:r>
    </w:p>
    <w:p w14:paraId="60DE974C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Tento stav se projevuje akutní plicní nedostatečností, v počátku charakterizovanou hypoxémií a hypokapnií. Fáze funkčních změn se označuje jako ALI (acute lung injury). Organické poškození vede ke stavu označovanému šoková plíce – DAD (diffuse alveolar damage - difuzní alveolární poškození) se klinicky manifestuje jako </w:t>
      </w:r>
      <w:hyperlink r:id="rId38" w:tooltip="ARDS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ARDS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(acute respiratory distress syndrome).</w:t>
      </w:r>
    </w:p>
    <w:p w14:paraId="565F36B8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Ledviny</w:t>
      </w:r>
    </w:p>
    <w:p w14:paraId="1DC31134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Hypotenze a vazokonstrikce v ledvinách vede k jejich snížené perfuzi a k poklesu až zástavě glomerulární filtrace. To se projeví </w:t>
      </w:r>
      <w:hyperlink r:id="rId39" w:tooltip="Oliguri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oligurií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až </w:t>
      </w:r>
      <w:hyperlink r:id="rId40" w:tooltip="Anuri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anurií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 xml:space="preserve">. V počátečních stádiích šoku napomáhá k udržení intravaskulárního objemu. Po ischemii trvající déle než 90 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lastRenderedPageBreak/>
        <w:t>minut se však funkční porucha mění v morfologickou a dochází k </w:t>
      </w:r>
      <w:hyperlink r:id="rId41" w:tooltip="Selhání ledvin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renálnímu selhání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Tento stav nazýváme šoková ledvina.</w:t>
      </w:r>
    </w:p>
    <w:p w14:paraId="5F77C1FE" w14:textId="77777777" w:rsidR="00A71B73" w:rsidRPr="00A71B73" w:rsidRDefault="00A71B73" w:rsidP="00A71B73">
      <w:pPr>
        <w:numPr>
          <w:ilvl w:val="0"/>
          <w:numId w:val="14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Makroskopicky je ledvina bledá, zvětšená.</w:t>
      </w:r>
    </w:p>
    <w:p w14:paraId="105A1FC4" w14:textId="77777777" w:rsidR="00A71B73" w:rsidRPr="00A71B73" w:rsidRDefault="00A71B73" w:rsidP="00A71B73">
      <w:pPr>
        <w:numPr>
          <w:ilvl w:val="0"/>
          <w:numId w:val="14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Mikroskopicky pozorujeme nekrózy výstelky proximálních tubulů, intersticiální edém, průnik erytrocytů do tubulů, kde tvoří pigmentované hemoglobinové válce.</w:t>
      </w:r>
    </w:p>
    <w:p w14:paraId="6C816AA8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Střevo</w:t>
      </w:r>
    </w:p>
    <w:p w14:paraId="3BE5A1AC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Hypoperfuze střeva vede po uplynutí jisté doby k poškození s narušením střevní bariéry s otokem a krvácením. Poškození vzniká především v horních částech tenkého střeva. Dochází k prostupu bakterií do střevní stěny, průniku toxinů, uvolnění </w:t>
      </w:r>
      <w:hyperlink r:id="rId42" w:tooltip="Endotoxin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endotoxinu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 </w:t>
      </w:r>
      <w:hyperlink r:id="rId43" w:tooltip="Histamin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histaminu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 </w:t>
      </w:r>
      <w:hyperlink r:id="rId44" w:tooltip="Cytokin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prozánětlivých cytokinů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(IL-1, IL-6, TNF-α) a dalších mediátorů </w:t>
      </w:r>
      <w:hyperlink r:id="rId45" w:tooltip="Zánět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zánětu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(např. myokardiální depresorický faktor z poškozeného pankreatu), které často ústí v </w:t>
      </w:r>
      <w:hyperlink r:id="rId46" w:tooltip="Syndrom systémové zánětové odpovědi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SIRS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a </w:t>
      </w:r>
      <w:hyperlink r:id="rId47" w:tooltip="Seps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sepsi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a prohlubují šok.</w:t>
      </w:r>
    </w:p>
    <w:p w14:paraId="737819E0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Játra</w:t>
      </w:r>
    </w:p>
    <w:p w14:paraId="618590C5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Játra hrají mj. důležitou úlohu imunologickou (zprostředkovanou pomocí </w:t>
      </w:r>
      <w:hyperlink r:id="rId48" w:tooltip="Kupfferovy buňky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Kuppferových buněk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), neboť jimi protéká krev ze střev, ještě než se dostane do plic. Při poškození této funkce jater je usnadněn průnik bakterií a jejich toxinů do plic, což dále podporuje vznik </w:t>
      </w:r>
      <w:hyperlink r:id="rId49" w:tooltip="ARDS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ARDS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Během šoku dále dochází k úbytku hepatocytů, tím ke snížení odbourávání toxických zplodin metabolismu a snižuje se i syntéza </w:t>
      </w:r>
      <w:hyperlink r:id="rId50" w:tooltip="Reaktanty akutní fáz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proteinů akutní fáze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Může dojít i ke vzniku </w:t>
      </w:r>
      <w:hyperlink r:id="rId51" w:tooltip="Ikterus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ikteru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, který je velmi nepříznivou </w:t>
      </w:r>
      <w:hyperlink r:id="rId52" w:tooltip="Prognóza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prognostickou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známkou.</w:t>
      </w:r>
    </w:p>
    <w:p w14:paraId="5C0FD312" w14:textId="77777777" w:rsidR="00A71B73" w:rsidRPr="00A71B73" w:rsidRDefault="00A71B73" w:rsidP="00A71B73">
      <w:pPr>
        <w:numPr>
          <w:ilvl w:val="0"/>
          <w:numId w:val="15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Na mikroskopické úrovni dochází k centrolobulárním nekrózám.</w:t>
      </w:r>
    </w:p>
    <w:p w14:paraId="66213CE4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Srdce</w:t>
      </w:r>
    </w:p>
    <w:p w14:paraId="2429F17D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Srdce je postiženo nedostatečnou dodávkou kyslíku pro myokard, kterou nelze regulovat ani běžnými mechanismy (koronální vazodilatací). Nedokrvenost se manifestuje vznikem </w:t>
      </w:r>
      <w:hyperlink r:id="rId53" w:tooltip="Poruchy srdečního rytmu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arytmií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</w:t>
      </w:r>
    </w:p>
    <w:p w14:paraId="78220925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Mozek</w:t>
      </w:r>
    </w:p>
    <w:p w14:paraId="4CC5CE3F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Rozvíjí se </w:t>
      </w:r>
      <w:hyperlink r:id="rId54" w:tooltip="Hypoxicko-ischemická encefalopati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hypoxická encefalopatie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až drobné infarkty v hraničních zónách mezi povodími mozkových tepen, což vede ke vzniku nekróz.</w:t>
      </w:r>
    </w:p>
    <w:p w14:paraId="5B861FD3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lastRenderedPageBreak/>
        <w:t>Nadledviny</w:t>
      </w:r>
    </w:p>
    <w:p w14:paraId="437FD2CB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Deplece lipidů vzniklá vlivem </w:t>
      </w:r>
      <w:hyperlink r:id="rId55" w:tooltip="Adrenokortikotropní hormon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ACTH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uvolňovaného z hypofýzy při šoku, vede k vzájemnému oddálení a zúžení trámců kůry, které pak připomínají tubuly – tzv. pseudotubulární degenerace v zevní části </w:t>
      </w:r>
      <w:r w:rsidRPr="00A71B73">
        <w:rPr>
          <w:rFonts w:ascii="Segoe UI" w:eastAsia="Times New Roman" w:hAnsi="Segoe UI" w:cs="Segoe UI"/>
          <w:i/>
          <w:iCs/>
          <w:kern w:val="0"/>
          <w:lang w:eastAsia="cs-CZ"/>
          <w14:ligatures w14:val="none"/>
        </w:rPr>
        <w:t>zona fasciculata</w:t>
      </w: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. Někdy vzniká až hemorhagická nekróza kůry nadledvin (</w:t>
      </w:r>
      <w:hyperlink r:id="rId56" w:tooltip="Waterhouseův-Friderichsenův syndrom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Waterhouseův-Friderichsenův syndrom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při meningokokové sepsi).</w:t>
      </w:r>
    </w:p>
    <w:p w14:paraId="19C69A3A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4"/>
          <w:szCs w:val="34"/>
          <w:lang w:eastAsia="cs-CZ"/>
          <w14:ligatures w14:val="none"/>
        </w:rPr>
        <w:t>Lymfatické tkáně</w:t>
      </w:r>
    </w:p>
    <w:p w14:paraId="73176CCC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Vznikají selektivní nekrózy zárodečných center (zvláště slezina, thymus) vlivem glukokortikoidů uvolňovaných z kůry nadledvin.</w:t>
      </w:r>
    </w:p>
    <w:p w14:paraId="41AB471A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7207331C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60D86348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1F118221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5E2C107F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1C477675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735A3625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24EC0B13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3578745A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4E0D3537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24F076C9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686876ED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4E73A3AF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5B95C6EB" w14:textId="77777777" w:rsid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55A37799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</w:p>
    <w:p w14:paraId="2C31B666" w14:textId="77777777" w:rsidR="00A71B73" w:rsidRPr="00A71B73" w:rsidRDefault="00A71B73" w:rsidP="00A71B73">
      <w:pPr>
        <w:pBdr>
          <w:bottom w:val="single" w:sz="6" w:space="2" w:color="A2A9B1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sz w:val="37"/>
          <w:szCs w:val="37"/>
          <w:lang w:eastAsia="cs-CZ"/>
          <w14:ligatures w14:val="none"/>
        </w:rPr>
        <w:lastRenderedPageBreak/>
        <w:t>Diagnostika</w:t>
      </w:r>
    </w:p>
    <w:p w14:paraId="0A2F386E" w14:textId="64F13569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Klinické projevy šokového stavu (hypotenze,  tachykardie, oligurie...) nejsou podmínkou diagnózy, navíc patologické změny se mohou vyvinout jíž v pokročilých stadiích; šokový index (</w:t>
      </w:r>
      <w:hyperlink r:id="rId57" w:tooltip="Systolický krevní tlak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SAP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/</w:t>
      </w:r>
      <w:hyperlink r:id="rId58" w:tooltip="Srdeční frekvence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TF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 je také málo senzitivní. </w:t>
      </w:r>
    </w:p>
    <w:p w14:paraId="5094917A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Užitečné pro diagnostiku šoku jsou laboratorní známky tkáňové hypoperfuze:</w:t>
      </w:r>
    </w:p>
    <w:p w14:paraId="6E9DD407" w14:textId="77777777" w:rsidR="00A71B73" w:rsidRPr="00A71B73" w:rsidRDefault="00A71B73" w:rsidP="00A71B73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Pokles saturace hemoglobinu ze žilní krve z </w:t>
      </w:r>
      <w:hyperlink r:id="rId59" w:tooltip="Centrální žilní vstup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CŽK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pod 70% nebo ze žilní krve z plicnicového katétru pod 65%;</w:t>
      </w:r>
    </w:p>
    <w:p w14:paraId="37DC0129" w14:textId="77777777" w:rsidR="00A71B73" w:rsidRPr="00A71B73" w:rsidRDefault="00A71B73" w:rsidP="00A71B73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Vzestup hladiny </w:t>
      </w:r>
      <w:hyperlink r:id="rId60" w:tooltip="Laktát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laktátu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nad 2 mmol/l;</w:t>
      </w:r>
    </w:p>
    <w:p w14:paraId="0E255C09" w14:textId="77777777" w:rsidR="00A71B73" w:rsidRPr="00A71B73" w:rsidRDefault="00A71B73" w:rsidP="00A71B73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Deficit bází (</w:t>
      </w:r>
      <w:hyperlink r:id="rId61" w:anchor="P%C5%99ebytek_baz%C3%AD_(base_excess,_BE)" w:tooltip="Laboratorní vyšetření acidobazické rovnováhy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base deficit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) nad 3 mmol/l po vyloučení jiných příčin </w:t>
      </w:r>
      <w:hyperlink r:id="rId62" w:tooltip="Metabolická acidóza" w:history="1">
        <w:r w:rsidRPr="00A71B73">
          <w:rPr>
            <w:rFonts w:ascii="Segoe UI" w:eastAsia="Times New Roman" w:hAnsi="Segoe UI" w:cs="Segoe UI"/>
            <w:kern w:val="0"/>
            <w:lang w:eastAsia="cs-CZ"/>
            <w14:ligatures w14:val="none"/>
          </w:rPr>
          <w:t>metabolické acidózy</w:t>
        </w:r>
      </w:hyperlink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 (ketoacidóza, hyperchlorémie);</w:t>
      </w:r>
    </w:p>
    <w:p w14:paraId="4A488C73" w14:textId="77777777" w:rsidR="00A71B73" w:rsidRPr="00A71B73" w:rsidRDefault="00A71B73" w:rsidP="00A71B73">
      <w:pPr>
        <w:numPr>
          <w:ilvl w:val="0"/>
          <w:numId w:val="16"/>
        </w:numPr>
        <w:shd w:val="clear" w:color="auto" w:fill="FFFFFF"/>
        <w:spacing w:before="100" w:beforeAutospacing="1" w:after="24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Vzestup gradientu PaCO2 - PvCO2 nad 10 mmHg (gradient tenze CO2 v arteriální a venózní krvi).</w:t>
      </w:r>
    </w:p>
    <w:p w14:paraId="5C41070B" w14:textId="77777777" w:rsidR="00A71B73" w:rsidRPr="00A71B73" w:rsidRDefault="00A71B73" w:rsidP="00A71B73">
      <w:pP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kern w:val="0"/>
          <w:lang w:eastAsia="cs-CZ"/>
          <w14:ligatures w14:val="none"/>
        </w:rPr>
      </w:pPr>
      <w:r w:rsidRPr="00A71B73">
        <w:rPr>
          <w:rFonts w:ascii="Segoe UI" w:eastAsia="Times New Roman" w:hAnsi="Segoe UI" w:cs="Segoe UI"/>
          <w:kern w:val="0"/>
          <w:lang w:eastAsia="cs-CZ"/>
          <w14:ligatures w14:val="none"/>
        </w:rPr>
        <w:t>Odhad etiologie šokového stavu a volbu vhodných terapeutických postupů umožňuje hodnocení globálních hemodynamických parametrů, podle kterých se dá určit tzv. "šokový model":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3747"/>
        <w:gridCol w:w="1153"/>
        <w:gridCol w:w="1713"/>
      </w:tblGrid>
      <w:tr w:rsidR="00A71B73" w:rsidRPr="00A71B73" w14:paraId="308E6B85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B82715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Typ šoku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4C034A9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EDP (enddiastolický tlak) - </w:t>
            </w:r>
            <w:hyperlink r:id="rId63" w:tooltip="Pravostranná srdeční katetrizace" w:history="1">
              <w:r w:rsidRPr="00A71B73">
                <w:rPr>
                  <w:rFonts w:ascii="Times New Roman" w:eastAsia="Times New Roman" w:hAnsi="Times New Roman" w:cs="Times New Roman"/>
                  <w:kern w:val="0"/>
                  <w:lang w:eastAsia="cs-CZ"/>
                  <w14:ligatures w14:val="none"/>
                </w:rPr>
                <w:t>PCWP</w:t>
              </w:r>
            </w:hyperlink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(pulmonary capillary wedge pressure) nebo </w:t>
            </w:r>
            <w:hyperlink r:id="rId64" w:tooltip="Centrální žilní tlak" w:history="1">
              <w:r w:rsidRPr="00A71B73">
                <w:rPr>
                  <w:rFonts w:ascii="Times New Roman" w:eastAsia="Times New Roman" w:hAnsi="Times New Roman" w:cs="Times New Roman"/>
                  <w:kern w:val="0"/>
                  <w:lang w:eastAsia="cs-CZ"/>
                  <w14:ligatures w14:val="none"/>
                </w:rPr>
                <w:t>CVP</w:t>
              </w:r>
            </w:hyperlink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(central venous pressure)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B0FDAE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hyperlink r:id="rId65" w:tooltip="Stanovení srdečního výdeje" w:history="1">
              <w:r w:rsidRPr="00A71B73">
                <w:rPr>
                  <w:rFonts w:ascii="Times New Roman" w:eastAsia="Times New Roman" w:hAnsi="Times New Roman" w:cs="Times New Roman"/>
                  <w:kern w:val="0"/>
                  <w:lang w:eastAsia="cs-CZ"/>
                  <w14:ligatures w14:val="none"/>
                </w:rPr>
                <w:t>CO (srdeční výdej)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00BE39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SVR (systémová vaskulární rezistence)</w:t>
            </w:r>
          </w:p>
        </w:tc>
      </w:tr>
      <w:tr w:rsidR="00A71B73" w:rsidRPr="00A71B73" w14:paraId="0BCFAE46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BFACD9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hyperlink r:id="rId66" w:tooltip="Hypovolemický šok" w:history="1">
              <w:r w:rsidRPr="00A71B73">
                <w:rPr>
                  <w:rFonts w:ascii="Times New Roman" w:eastAsia="Times New Roman" w:hAnsi="Times New Roman" w:cs="Times New Roman"/>
                  <w:kern w:val="0"/>
                  <w:lang w:eastAsia="cs-CZ"/>
                  <w14:ligatures w14:val="none"/>
                </w:rPr>
                <w:t>Hypovolemický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56F15F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76C2F9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228EDE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↑</w:t>
            </w:r>
          </w:p>
        </w:tc>
      </w:tr>
      <w:tr w:rsidR="00A71B73" w:rsidRPr="00A71B73" w14:paraId="4600277E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95D5BD1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hyperlink r:id="rId67" w:tooltip="Kardiogenní šok" w:history="1">
              <w:r w:rsidRPr="00A71B73">
                <w:rPr>
                  <w:rFonts w:ascii="Times New Roman" w:eastAsia="Times New Roman" w:hAnsi="Times New Roman" w:cs="Times New Roman"/>
                  <w:kern w:val="0"/>
                  <w:lang w:eastAsia="cs-CZ"/>
                  <w14:ligatures w14:val="none"/>
                </w:rPr>
                <w:t>Kardiogenní</w:t>
              </w:r>
            </w:hyperlink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/</w:t>
            </w:r>
            <w:hyperlink r:id="rId68" w:tooltip="Obstrukční šok" w:history="1">
              <w:r w:rsidRPr="00A71B73">
                <w:rPr>
                  <w:rFonts w:ascii="Times New Roman" w:eastAsia="Times New Roman" w:hAnsi="Times New Roman" w:cs="Times New Roman"/>
                  <w:kern w:val="0"/>
                  <w:lang w:eastAsia="cs-CZ"/>
                  <w14:ligatures w14:val="none"/>
                </w:rPr>
                <w:t>obstuktivní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983718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↑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866936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7F201F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↑</w:t>
            </w:r>
          </w:p>
        </w:tc>
      </w:tr>
      <w:tr w:rsidR="00A71B73" w:rsidRPr="00A71B73" w14:paraId="2CB91D99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F7EBA3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hyperlink r:id="rId69" w:tooltip="Distribuční šok" w:history="1">
              <w:r w:rsidRPr="00A71B73">
                <w:rPr>
                  <w:rFonts w:ascii="Times New Roman" w:eastAsia="Times New Roman" w:hAnsi="Times New Roman" w:cs="Times New Roman"/>
                  <w:kern w:val="0"/>
                  <w:lang w:eastAsia="cs-CZ"/>
                  <w14:ligatures w14:val="none"/>
                </w:rPr>
                <w:t>Distribuční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8177E0B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↓ nebo normální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4B3DD2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↑ nebo normální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8F6241" w14:textId="77777777" w:rsidR="00A71B73" w:rsidRPr="00A71B73" w:rsidRDefault="00A71B73" w:rsidP="00A71B7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A71B73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↓</w:t>
            </w:r>
          </w:p>
        </w:tc>
      </w:tr>
    </w:tbl>
    <w:p w14:paraId="0F985ED6" w14:textId="77777777" w:rsidR="00A71B73" w:rsidRPr="00A71B73" w:rsidRDefault="00A71B73"/>
    <w:sectPr w:rsidR="00A71B73" w:rsidRPr="00A7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59"/>
    <w:multiLevelType w:val="multilevel"/>
    <w:tmpl w:val="C19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36B10"/>
    <w:multiLevelType w:val="multilevel"/>
    <w:tmpl w:val="1002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35393"/>
    <w:multiLevelType w:val="multilevel"/>
    <w:tmpl w:val="C8B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04F54"/>
    <w:multiLevelType w:val="multilevel"/>
    <w:tmpl w:val="2FF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62F8F"/>
    <w:multiLevelType w:val="multilevel"/>
    <w:tmpl w:val="89B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B3DB4"/>
    <w:multiLevelType w:val="multilevel"/>
    <w:tmpl w:val="E71E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97804"/>
    <w:multiLevelType w:val="multilevel"/>
    <w:tmpl w:val="034C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90644"/>
    <w:multiLevelType w:val="multilevel"/>
    <w:tmpl w:val="04B0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B7340"/>
    <w:multiLevelType w:val="multilevel"/>
    <w:tmpl w:val="5D98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626EE"/>
    <w:multiLevelType w:val="multilevel"/>
    <w:tmpl w:val="6884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E7876"/>
    <w:multiLevelType w:val="multilevel"/>
    <w:tmpl w:val="28ACA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00887"/>
    <w:multiLevelType w:val="multilevel"/>
    <w:tmpl w:val="897C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35275"/>
    <w:multiLevelType w:val="multilevel"/>
    <w:tmpl w:val="142C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B2560"/>
    <w:multiLevelType w:val="multilevel"/>
    <w:tmpl w:val="FF7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A0ACD"/>
    <w:multiLevelType w:val="multilevel"/>
    <w:tmpl w:val="F7F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472AD"/>
    <w:multiLevelType w:val="multilevel"/>
    <w:tmpl w:val="3F42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76D8A"/>
    <w:multiLevelType w:val="multilevel"/>
    <w:tmpl w:val="51C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82049"/>
    <w:multiLevelType w:val="multilevel"/>
    <w:tmpl w:val="AF58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D2D3A"/>
    <w:multiLevelType w:val="multilevel"/>
    <w:tmpl w:val="954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50130"/>
    <w:multiLevelType w:val="multilevel"/>
    <w:tmpl w:val="9084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562A6"/>
    <w:multiLevelType w:val="multilevel"/>
    <w:tmpl w:val="8B9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017BC"/>
    <w:multiLevelType w:val="multilevel"/>
    <w:tmpl w:val="949C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77C4E"/>
    <w:multiLevelType w:val="multilevel"/>
    <w:tmpl w:val="19E4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97BD2"/>
    <w:multiLevelType w:val="multilevel"/>
    <w:tmpl w:val="F0B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D0AE0"/>
    <w:multiLevelType w:val="multilevel"/>
    <w:tmpl w:val="AF16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100913">
    <w:abstractNumId w:val="4"/>
  </w:num>
  <w:num w:numId="2" w16cid:durableId="2084718833">
    <w:abstractNumId w:val="5"/>
  </w:num>
  <w:num w:numId="3" w16cid:durableId="346373525">
    <w:abstractNumId w:val="24"/>
  </w:num>
  <w:num w:numId="4" w16cid:durableId="2110462375">
    <w:abstractNumId w:val="11"/>
  </w:num>
  <w:num w:numId="5" w16cid:durableId="422188510">
    <w:abstractNumId w:val="15"/>
  </w:num>
  <w:num w:numId="6" w16cid:durableId="1392995020">
    <w:abstractNumId w:val="1"/>
  </w:num>
  <w:num w:numId="7" w16cid:durableId="318769546">
    <w:abstractNumId w:val="22"/>
  </w:num>
  <w:num w:numId="8" w16cid:durableId="791678208">
    <w:abstractNumId w:val="7"/>
  </w:num>
  <w:num w:numId="9" w16cid:durableId="1164007162">
    <w:abstractNumId w:val="20"/>
  </w:num>
  <w:num w:numId="10" w16cid:durableId="1068261671">
    <w:abstractNumId w:val="23"/>
  </w:num>
  <w:num w:numId="11" w16cid:durableId="1314068437">
    <w:abstractNumId w:val="17"/>
  </w:num>
  <w:num w:numId="12" w16cid:durableId="656495769">
    <w:abstractNumId w:val="2"/>
  </w:num>
  <w:num w:numId="13" w16cid:durableId="104548080">
    <w:abstractNumId w:val="9"/>
  </w:num>
  <w:num w:numId="14" w16cid:durableId="593362946">
    <w:abstractNumId w:val="6"/>
  </w:num>
  <w:num w:numId="15" w16cid:durableId="664404926">
    <w:abstractNumId w:val="0"/>
  </w:num>
  <w:num w:numId="16" w16cid:durableId="1111513497">
    <w:abstractNumId w:val="14"/>
  </w:num>
  <w:num w:numId="17" w16cid:durableId="799108896">
    <w:abstractNumId w:val="13"/>
  </w:num>
  <w:num w:numId="18" w16cid:durableId="927739945">
    <w:abstractNumId w:val="21"/>
  </w:num>
  <w:num w:numId="19" w16cid:durableId="327565788">
    <w:abstractNumId w:val="12"/>
  </w:num>
  <w:num w:numId="20" w16cid:durableId="173884651">
    <w:abstractNumId w:val="18"/>
  </w:num>
  <w:num w:numId="21" w16cid:durableId="346248905">
    <w:abstractNumId w:val="10"/>
  </w:num>
  <w:num w:numId="22" w16cid:durableId="2121097655">
    <w:abstractNumId w:val="3"/>
  </w:num>
  <w:num w:numId="23" w16cid:durableId="45837121">
    <w:abstractNumId w:val="19"/>
  </w:num>
  <w:num w:numId="24" w16cid:durableId="1100684694">
    <w:abstractNumId w:val="16"/>
  </w:num>
  <w:num w:numId="25" w16cid:durableId="22442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3"/>
    <w:rsid w:val="002242FF"/>
    <w:rsid w:val="00A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6CE17"/>
  <w15:chartTrackingRefBased/>
  <w15:docId w15:val="{55BC7386-0AD4-574A-89F2-355D225C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1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71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1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1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1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1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1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71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71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1B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B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1B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1B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1B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1B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1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1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1B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1B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1B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1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1B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1B7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A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A71B7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71B73"/>
    <w:rPr>
      <w:color w:val="800080"/>
      <w:u w:val="single"/>
    </w:rPr>
  </w:style>
  <w:style w:type="character" w:customStyle="1" w:styleId="mw-desktop-sitename">
    <w:name w:val="mw-desktop-sitename"/>
    <w:basedOn w:val="Standardnpsmoodstavce"/>
    <w:rsid w:val="00A71B7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71B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71B73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71B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71B73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customStyle="1" w:styleId="mw-list-item">
    <w:name w:val="mw-list-item"/>
    <w:basedOn w:val="Normln"/>
    <w:rsid w:val="00A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selected">
    <w:name w:val="selected"/>
    <w:basedOn w:val="Standardnpsmoodstavce"/>
    <w:rsid w:val="00A71B73"/>
  </w:style>
  <w:style w:type="character" w:customStyle="1" w:styleId="mw-list-item1">
    <w:name w:val="mw-list-item1"/>
    <w:basedOn w:val="Standardnpsmoodstavce"/>
    <w:rsid w:val="00A71B73"/>
  </w:style>
  <w:style w:type="character" w:customStyle="1" w:styleId="mw-page-title-main">
    <w:name w:val="mw-page-title-main"/>
    <w:basedOn w:val="Standardnpsmoodstavce"/>
    <w:rsid w:val="00A71B73"/>
  </w:style>
  <w:style w:type="paragraph" w:styleId="Normlnweb">
    <w:name w:val="Normal (Web)"/>
    <w:basedOn w:val="Normln"/>
    <w:uiPriority w:val="99"/>
    <w:semiHidden/>
    <w:unhideWhenUsed/>
    <w:rsid w:val="00A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toctogglespan">
    <w:name w:val="toctogglespan"/>
    <w:basedOn w:val="Standardnpsmoodstavce"/>
    <w:rsid w:val="00A71B73"/>
  </w:style>
  <w:style w:type="paragraph" w:customStyle="1" w:styleId="toclevel-1">
    <w:name w:val="toclevel-1"/>
    <w:basedOn w:val="Normln"/>
    <w:rsid w:val="00A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tocnumber">
    <w:name w:val="tocnumber"/>
    <w:basedOn w:val="Standardnpsmoodstavce"/>
    <w:rsid w:val="00A71B73"/>
  </w:style>
  <w:style w:type="character" w:customStyle="1" w:styleId="toctext">
    <w:name w:val="toctext"/>
    <w:basedOn w:val="Standardnpsmoodstavce"/>
    <w:rsid w:val="00A71B73"/>
  </w:style>
  <w:style w:type="paragraph" w:customStyle="1" w:styleId="toclevel-2">
    <w:name w:val="toclevel-2"/>
    <w:basedOn w:val="Normln"/>
    <w:rsid w:val="00A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A71B73"/>
  </w:style>
  <w:style w:type="character" w:customStyle="1" w:styleId="mw-headline">
    <w:name w:val="mw-headline"/>
    <w:basedOn w:val="Standardnpsmoodstavce"/>
    <w:rsid w:val="00A71B73"/>
  </w:style>
  <w:style w:type="character" w:customStyle="1" w:styleId="font-size">
    <w:name w:val="font-size:"/>
    <w:basedOn w:val="Standardnpsmoodstavce"/>
    <w:rsid w:val="00A71B73"/>
  </w:style>
  <w:style w:type="character" w:customStyle="1" w:styleId="reference-text">
    <w:name w:val="reference-text"/>
    <w:basedOn w:val="Standardnpsmoodstavce"/>
    <w:rsid w:val="00A71B73"/>
  </w:style>
  <w:style w:type="paragraph" w:customStyle="1" w:styleId="footer-icons">
    <w:name w:val="footer-icons"/>
    <w:basedOn w:val="Normln"/>
    <w:rsid w:val="00A7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kiskripta.eu/w/Pop%C3%A1leninov%C3%BD_%C5%A1ok" TargetMode="External"/><Relationship Id="rId21" Type="http://schemas.openxmlformats.org/officeDocument/2006/relationships/hyperlink" Target="https://www.wikiskripta.eu/w/Distribu%C4%8Dn%C3%AD_%C5%A1ok" TargetMode="External"/><Relationship Id="rId42" Type="http://schemas.openxmlformats.org/officeDocument/2006/relationships/hyperlink" Target="https://www.wikiskripta.eu/w/Endotoxin" TargetMode="External"/><Relationship Id="rId47" Type="http://schemas.openxmlformats.org/officeDocument/2006/relationships/hyperlink" Target="https://www.wikiskripta.eu/w/Sepse" TargetMode="External"/><Relationship Id="rId63" Type="http://schemas.openxmlformats.org/officeDocument/2006/relationships/hyperlink" Target="https://www.wikiskripta.eu/w/Pravostrann%C3%A1_srde%C4%8Dn%C3%AD_katetrizace" TargetMode="External"/><Relationship Id="rId68" Type="http://schemas.openxmlformats.org/officeDocument/2006/relationships/hyperlink" Target="https://www.wikiskripta.eu/w/Obstruk%C4%8Dn%C3%AD_%C5%A1ok" TargetMode="External"/><Relationship Id="rId7" Type="http://schemas.openxmlformats.org/officeDocument/2006/relationships/hyperlink" Target="https://www.wikiskripta.eu/w/Vazokonstrikce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ikiskripta.eu/w/Hypoxie" TargetMode="External"/><Relationship Id="rId29" Type="http://schemas.openxmlformats.org/officeDocument/2006/relationships/image" Target="media/image1.png"/><Relationship Id="rId11" Type="http://schemas.openxmlformats.org/officeDocument/2006/relationships/hyperlink" Target="https://www.wikiskripta.eu/w/Srde%C4%8Dn%C3%AD_selh%C3%A1n%C3%AD" TargetMode="External"/><Relationship Id="rId24" Type="http://schemas.openxmlformats.org/officeDocument/2006/relationships/hyperlink" Target="https://www.wikiskripta.eu/w/Distribu%C4%8Dn%C3%AD_%C5%A1ok" TargetMode="External"/><Relationship Id="rId32" Type="http://schemas.openxmlformats.org/officeDocument/2006/relationships/hyperlink" Target="https://www.wikiskripta.eu/w/Soubor:Diffuse_alveolar_damage_(DAD)_(5175504106).jpg" TargetMode="External"/><Relationship Id="rId37" Type="http://schemas.openxmlformats.org/officeDocument/2006/relationships/hyperlink" Target="https://www.wikiskripta.eu/w/Atelekt%C3%A1za" TargetMode="External"/><Relationship Id="rId40" Type="http://schemas.openxmlformats.org/officeDocument/2006/relationships/hyperlink" Target="https://www.wikiskripta.eu/w/Anurie" TargetMode="External"/><Relationship Id="rId45" Type="http://schemas.openxmlformats.org/officeDocument/2006/relationships/hyperlink" Target="https://www.wikiskripta.eu/w/Z%C3%A1n%C4%9Bt" TargetMode="External"/><Relationship Id="rId53" Type="http://schemas.openxmlformats.org/officeDocument/2006/relationships/hyperlink" Target="https://www.wikiskripta.eu/w/Poruchy_srde%C4%8Dn%C3%ADho_rytmu" TargetMode="External"/><Relationship Id="rId58" Type="http://schemas.openxmlformats.org/officeDocument/2006/relationships/hyperlink" Target="https://www.wikiskripta.eu/w/Srde%C4%8Dn%C3%AD_frekvence" TargetMode="External"/><Relationship Id="rId66" Type="http://schemas.openxmlformats.org/officeDocument/2006/relationships/hyperlink" Target="https://www.wikiskripta.eu/w/Hypovolemick%C3%BD_%C5%A1ok" TargetMode="External"/><Relationship Id="rId5" Type="http://schemas.openxmlformats.org/officeDocument/2006/relationships/hyperlink" Target="https://www.wikiskripta.eu/w/Krevn%C3%AD_tlak" TargetMode="External"/><Relationship Id="rId61" Type="http://schemas.openxmlformats.org/officeDocument/2006/relationships/hyperlink" Target="https://www.wikiskripta.eu/w/Laboratorn%C3%AD_vy%C5%A1et%C5%99en%C3%AD_acidobazick%C3%A9_rovnov%C3%A1hy" TargetMode="External"/><Relationship Id="rId19" Type="http://schemas.openxmlformats.org/officeDocument/2006/relationships/hyperlink" Target="https://www.wikiskripta.eu/w/Kardiogenn%C3%AD_%C5%A1ok" TargetMode="External"/><Relationship Id="rId14" Type="http://schemas.openxmlformats.org/officeDocument/2006/relationships/hyperlink" Target="https://www.wikiskripta.eu/w/Adrenalin" TargetMode="External"/><Relationship Id="rId22" Type="http://schemas.openxmlformats.org/officeDocument/2006/relationships/hyperlink" Target="https://www.wikiskripta.eu/w/Septick%C3%BD_%C5%A1ok" TargetMode="External"/><Relationship Id="rId27" Type="http://schemas.openxmlformats.org/officeDocument/2006/relationships/hyperlink" Target="https://www.wikiskripta.eu/w/Septick%C3%BD_%C5%A1ok" TargetMode="External"/><Relationship Id="rId30" Type="http://schemas.openxmlformats.org/officeDocument/2006/relationships/hyperlink" Target="https://www.wikiskripta.eu/w/Syndrom_multiorg%C3%A1nov%C3%A9_dysfunkce" TargetMode="External"/><Relationship Id="rId35" Type="http://schemas.openxmlformats.org/officeDocument/2006/relationships/hyperlink" Target="https://www.wikiskripta.eu/w/Skiagrafie" TargetMode="External"/><Relationship Id="rId43" Type="http://schemas.openxmlformats.org/officeDocument/2006/relationships/hyperlink" Target="https://www.wikiskripta.eu/w/Histamin" TargetMode="External"/><Relationship Id="rId48" Type="http://schemas.openxmlformats.org/officeDocument/2006/relationships/hyperlink" Target="https://www.wikiskripta.eu/w/Kupfferovy_bu%C5%88ky" TargetMode="External"/><Relationship Id="rId56" Type="http://schemas.openxmlformats.org/officeDocument/2006/relationships/hyperlink" Target="https://www.wikiskripta.eu/w/Waterhouse%C5%AFv-Friderichsen%C5%AFv_syndrom" TargetMode="External"/><Relationship Id="rId64" Type="http://schemas.openxmlformats.org/officeDocument/2006/relationships/hyperlink" Target="https://www.wikiskripta.eu/w/Centr%C3%A1ln%C3%AD_%C5%BEiln%C3%AD_tlak" TargetMode="External"/><Relationship Id="rId69" Type="http://schemas.openxmlformats.org/officeDocument/2006/relationships/hyperlink" Target="https://www.wikiskripta.eu/w/Distribu%C4%8Dn%C3%AD_%C5%A1ok" TargetMode="External"/><Relationship Id="rId8" Type="http://schemas.openxmlformats.org/officeDocument/2006/relationships/hyperlink" Target="https://www.wikiskripta.eu/w/Hypotenze" TargetMode="External"/><Relationship Id="rId51" Type="http://schemas.openxmlformats.org/officeDocument/2006/relationships/hyperlink" Target="https://www.wikiskripta.eu/w/Ikteru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ikiskripta.eu/w/Anafylaxe" TargetMode="External"/><Relationship Id="rId17" Type="http://schemas.openxmlformats.org/officeDocument/2006/relationships/hyperlink" Target="https://www.wikiskripta.eu/w/Diseminovan%C3%A1_intravaskul%C3%A1rn%C3%AD_koagulace" TargetMode="External"/><Relationship Id="rId25" Type="http://schemas.openxmlformats.org/officeDocument/2006/relationships/hyperlink" Target="https://www.wikiskripta.eu/w/Hypovolemick%C3%BD_%C5%A1ok" TargetMode="External"/><Relationship Id="rId33" Type="http://schemas.openxmlformats.org/officeDocument/2006/relationships/image" Target="media/image2.jpeg"/><Relationship Id="rId38" Type="http://schemas.openxmlformats.org/officeDocument/2006/relationships/hyperlink" Target="https://www.wikiskripta.eu/w/ARDS" TargetMode="External"/><Relationship Id="rId46" Type="http://schemas.openxmlformats.org/officeDocument/2006/relationships/hyperlink" Target="https://www.wikiskripta.eu/w/Syndrom_syst%C3%A9mov%C3%A9_z%C3%A1n%C4%9Btov%C3%A9_odpov%C4%9Bdi" TargetMode="External"/><Relationship Id="rId59" Type="http://schemas.openxmlformats.org/officeDocument/2006/relationships/hyperlink" Target="https://www.wikiskripta.eu/w/Centr%C3%A1ln%C3%AD_%C5%BEiln%C3%AD_vstup" TargetMode="External"/><Relationship Id="rId67" Type="http://schemas.openxmlformats.org/officeDocument/2006/relationships/hyperlink" Target="https://www.wikiskripta.eu/w/Kardiogenn%C3%AD_%C5%A1ok" TargetMode="External"/><Relationship Id="rId20" Type="http://schemas.openxmlformats.org/officeDocument/2006/relationships/hyperlink" Target="https://www.wikiskripta.eu/w/Obstruk%C4%8Dn%C3%AD_%C5%A1ok" TargetMode="External"/><Relationship Id="rId41" Type="http://schemas.openxmlformats.org/officeDocument/2006/relationships/hyperlink" Target="https://www.wikiskripta.eu/w/Selh%C3%A1n%C3%AD_ledvin" TargetMode="External"/><Relationship Id="rId54" Type="http://schemas.openxmlformats.org/officeDocument/2006/relationships/hyperlink" Target="https://www.wikiskripta.eu/w/Hypoxicko-ischemick%C3%A1_encefalopatie" TargetMode="External"/><Relationship Id="rId62" Type="http://schemas.openxmlformats.org/officeDocument/2006/relationships/hyperlink" Target="https://www.wikiskripta.eu/w/Metabolick%C3%A1_acid%C3%B3za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ikiskripta.eu/w/Vazodilatace" TargetMode="External"/><Relationship Id="rId15" Type="http://schemas.openxmlformats.org/officeDocument/2006/relationships/hyperlink" Target="https://www.wikiskripta.eu/w/Noradrenalin" TargetMode="External"/><Relationship Id="rId23" Type="http://schemas.openxmlformats.org/officeDocument/2006/relationships/hyperlink" Target="https://www.wikiskripta.eu/w/Anafylaxe" TargetMode="External"/><Relationship Id="rId28" Type="http://schemas.openxmlformats.org/officeDocument/2006/relationships/hyperlink" Target="https://www.wikiskripta.eu/w/Soubor:170225_CVS_Shock_types_Pathophysiology_of_Disease.png" TargetMode="External"/><Relationship Id="rId36" Type="http://schemas.openxmlformats.org/officeDocument/2006/relationships/hyperlink" Target="https://www.wikiskripta.eu/w/Surfaktant" TargetMode="External"/><Relationship Id="rId49" Type="http://schemas.openxmlformats.org/officeDocument/2006/relationships/hyperlink" Target="https://www.wikiskripta.eu/w/ARDS" TargetMode="External"/><Relationship Id="rId57" Type="http://schemas.openxmlformats.org/officeDocument/2006/relationships/hyperlink" Target="https://www.wikiskripta.eu/w/Systolick%C3%BD_krevn%C3%AD_tlak" TargetMode="External"/><Relationship Id="rId10" Type="http://schemas.openxmlformats.org/officeDocument/2006/relationships/hyperlink" Target="https://www.wikiskripta.eu/w/%C5%A0ok" TargetMode="External"/><Relationship Id="rId31" Type="http://schemas.openxmlformats.org/officeDocument/2006/relationships/hyperlink" Target="https://www.wikiskripta.eu/w/Hyperemie" TargetMode="External"/><Relationship Id="rId44" Type="http://schemas.openxmlformats.org/officeDocument/2006/relationships/hyperlink" Target="https://www.wikiskripta.eu/w/Cytokin" TargetMode="External"/><Relationship Id="rId52" Type="http://schemas.openxmlformats.org/officeDocument/2006/relationships/hyperlink" Target="https://www.wikiskripta.eu/w/Progn%C3%B3za" TargetMode="External"/><Relationship Id="rId60" Type="http://schemas.openxmlformats.org/officeDocument/2006/relationships/hyperlink" Target="https://www.wikiskripta.eu/w/Lakt%C3%A1t" TargetMode="External"/><Relationship Id="rId65" Type="http://schemas.openxmlformats.org/officeDocument/2006/relationships/hyperlink" Target="https://www.wikiskripta.eu/w/Stanoven%C3%AD_srde%C4%8Dn%C3%ADho_v%C3%BDde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kiskripta.eu/w/Syndrom_multiorg%C3%A1nov%C3%A9_dysfunkce" TargetMode="External"/><Relationship Id="rId13" Type="http://schemas.openxmlformats.org/officeDocument/2006/relationships/hyperlink" Target="https://www.wikiskripta.eu/w/Sepse" TargetMode="External"/><Relationship Id="rId18" Type="http://schemas.openxmlformats.org/officeDocument/2006/relationships/hyperlink" Target="https://www.wikiskripta.eu/w/Hypovolemick%C3%BD_%C5%A1ok" TargetMode="External"/><Relationship Id="rId39" Type="http://schemas.openxmlformats.org/officeDocument/2006/relationships/hyperlink" Target="https://www.wikiskripta.eu/w/Oligurie" TargetMode="External"/><Relationship Id="rId34" Type="http://schemas.openxmlformats.org/officeDocument/2006/relationships/hyperlink" Target="https://www.wikiskripta.eu/w/Mrtv%C3%BD_prostor" TargetMode="External"/><Relationship Id="rId50" Type="http://schemas.openxmlformats.org/officeDocument/2006/relationships/hyperlink" Target="https://www.wikiskripta.eu/w/Reaktanty_akutn%C3%AD_f%C3%A1ze" TargetMode="External"/><Relationship Id="rId55" Type="http://schemas.openxmlformats.org/officeDocument/2006/relationships/hyperlink" Target="https://www.wikiskripta.eu/w/Adrenokortikotropn%C3%AD_horm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1949</Words>
  <Characters>12771</Characters>
  <Application>Microsoft Office Word</Application>
  <DocSecurity>0</DocSecurity>
  <Lines>375</Lines>
  <Paragraphs>267</Paragraphs>
  <ScaleCrop>false</ScaleCrop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Magdalena Waagnerová</dc:creator>
  <cp:keywords/>
  <dc:description/>
  <cp:lastModifiedBy>Kristina Magdalena Waagnerová</cp:lastModifiedBy>
  <cp:revision>1</cp:revision>
  <dcterms:created xsi:type="dcterms:W3CDTF">2026-03-03T07:06:00Z</dcterms:created>
  <dcterms:modified xsi:type="dcterms:W3CDTF">2026-03-03T07:10:00Z</dcterms:modified>
</cp:coreProperties>
</file>